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452" w:rsidRDefault="0078110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041DAB" wp14:editId="68F329B2">
                <wp:simplePos x="0" y="0"/>
                <wp:positionH relativeFrom="column">
                  <wp:posOffset>4038600</wp:posOffset>
                </wp:positionH>
                <wp:positionV relativeFrom="paragraph">
                  <wp:posOffset>-476885</wp:posOffset>
                </wp:positionV>
                <wp:extent cx="2237740" cy="571500"/>
                <wp:effectExtent l="0" t="0" r="10160" b="1905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74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110C" w:rsidRPr="00883C0D" w:rsidRDefault="0078110C" w:rsidP="0078110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83C0D">
                              <w:rPr>
                                <w:sz w:val="20"/>
                                <w:szCs w:val="20"/>
                              </w:rPr>
                              <w:t xml:space="preserve">Витяг з електронної бази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Департаменту містобудування та архітектури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041DAB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318pt;margin-top:-37.55pt;width:176.2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">
                <v:textbox>
                  <w:txbxContent>
                    <w:p w:rsidR="0078110C" w:rsidRPr="00883C0D" w:rsidRDefault="0078110C" w:rsidP="0078110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883C0D">
                        <w:rPr>
                          <w:sz w:val="20"/>
                          <w:szCs w:val="20"/>
                        </w:rPr>
                        <w:t xml:space="preserve">Витяг з електронної бази </w:t>
                      </w:r>
                      <w:r>
                        <w:rPr>
                          <w:sz w:val="20"/>
                          <w:szCs w:val="20"/>
                        </w:rPr>
                        <w:t>Департаменту містобудування та архітектури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ДОГОВІР №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05099-25/28</w:t>
      </w:r>
    </w:p>
    <w:p w:rsidR="00F02452" w:rsidRDefault="0078110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щодо пайової участі в утриманні об’єкта благоустрою</w:t>
      </w:r>
    </w:p>
    <w:tbl>
      <w:tblPr>
        <w:tblStyle w:val="a5"/>
        <w:tblW w:w="962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814"/>
        <w:gridCol w:w="4815"/>
      </w:tblGrid>
      <w:tr w:rsidR="00F02452">
        <w:tc>
          <w:tcPr>
            <w:tcW w:w="4814" w:type="dxa"/>
          </w:tcPr>
          <w:p w:rsidR="00F02452" w:rsidRDefault="007811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</w:rPr>
              <w:t>м. Київ</w:t>
            </w:r>
          </w:p>
        </w:tc>
        <w:tc>
          <w:tcPr>
            <w:tcW w:w="4815" w:type="dxa"/>
          </w:tcPr>
          <w:p w:rsidR="00F02452" w:rsidRDefault="007811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</w:rPr>
              <w:t xml:space="preserve">16 листопада 2024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</w:rPr>
              <w:t xml:space="preserve"> року</w:t>
            </w:r>
          </w:p>
        </w:tc>
      </w:tr>
    </w:tbl>
    <w:p w:rsidR="00F02452" w:rsidRDefault="0078110C">
      <w:pPr>
        <w:pBdr>
          <w:top w:val="nil"/>
          <w:left w:val="nil"/>
          <w:bottom w:val="single" w:sz="6" w:space="1" w:color="000000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</w:pPr>
      <w:proofErr w:type="spellStart"/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Сосніцька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 Любов Іванівна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55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(прізвище, ім'я та по батькові фізичної особи - підприємця, що є власником тимчасової споруди торговельного, побутового, соціально-культурного чи іншого призначення, розташованої на території об'єкта благоустрою державної та комунальної власності), що діє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підставі запису в Єдиному державному реєстрі юридичних осіб та фізичних осіб-підприємців, далі – Сторона 1, з однієї сторони, і Департамент містобудування та архітектури виконавчого органу Київської міської ради (Київської міської державної адміністрації)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в особі заступника директора - начальника управління ландшафтної архітектури, комплексного благоустрою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Липівської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Світлани Олексіївни, яка діє на підставі Наказу № 350 від 18.03.2021 року Департаменту містобудування та архітектури виконавчого органу Київсь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кої міської ради (Київської міської державної адміністрації), далі — Сторона 2, з іншої сторони, разом Сторони керуючись Законом України «Про благоустрій населених пунктів» та іншими нормативно-правовими актами, уклали цей договір (далі – Договір) про таке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: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І. Предмет Договору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1.1. Сторона 1 зобов’язується оплатити пайову участь в утриманні об’єкта благоустрою (місце розташування 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м. Київ,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Подільський район,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просп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. Правди, 37б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, на території якого розташована 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тимчасова споруда (павільйон, площею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20,00 </w:t>
      </w:r>
      <w:proofErr w:type="spellStart"/>
      <w:r>
        <w:rPr>
          <w:rFonts w:ascii="Times New Roman" w:eastAsia="Times New Roman" w:hAnsi="Times New Roman" w:cs="Times New Roman"/>
          <w:b/>
          <w:sz w:val="21"/>
          <w:szCs w:val="21"/>
        </w:rPr>
        <w:t>кв.м</w:t>
      </w:r>
      <w:proofErr w:type="spellEnd"/>
      <w:r>
        <w:rPr>
          <w:rFonts w:ascii="Times New Roman" w:eastAsia="Times New Roman" w:hAnsi="Times New Roman" w:cs="Times New Roman"/>
          <w:b/>
          <w:sz w:val="21"/>
          <w:szCs w:val="21"/>
        </w:rPr>
        <w:t>.)</w:t>
      </w:r>
      <w:r>
        <w:rPr>
          <w:rFonts w:ascii="Times New Roman" w:eastAsia="Times New Roman" w:hAnsi="Times New Roman" w:cs="Times New Roman"/>
          <w:sz w:val="21"/>
          <w:szCs w:val="21"/>
        </w:rPr>
        <w:t>, функціональне використання якої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Продаж тютюнових виробів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, власником якої є Сторона 1. 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1.2. Сторони  погодилися, що Замовник сплачує пайову участь в утриманні об’єкта благоустрою у розмірі 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8 487,60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грн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(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вісім тисяч чотириста вісімдесят сім гривень шістдесят копійок)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за період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20 листопада 2024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 року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до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19 травня 2025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 року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.                                                                                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Обсяги пайової участі в утриманні об’єкта благоустрою визначені згідно з рішенням від 24 лютого 2011 року № 56/5443 «Про затвердження Порядку визначення обсягів пайової участі (внеску) власників тимчасових споруд торговельного, побутового, соціально-культу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рного чи іншого призначення для здійснення підприємницької діяльності, засобів пересувної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дрібнороздрібної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торговельної мережі, власників (користувачів) майданчиків для харчування біля стаціонарних закладів ресторанного господарства в утриманні об'єктів бл</w:t>
      </w:r>
      <w:r>
        <w:rPr>
          <w:rFonts w:ascii="Times New Roman" w:eastAsia="Times New Roman" w:hAnsi="Times New Roman" w:cs="Times New Roman"/>
          <w:sz w:val="21"/>
          <w:szCs w:val="21"/>
        </w:rPr>
        <w:t>агоустрою м. Києва та внесення змін до деяких рішень Київської міської ради» (зі змінами та доповненнями).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1.3. Сторона 1  здійснює оплату пайової участі у розмірі, установленому в пункті 1.2 цього Договору.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1.4. Відповідно до рішення Київської міської рад</w:t>
      </w:r>
      <w:r>
        <w:rPr>
          <w:rFonts w:ascii="Times New Roman" w:eastAsia="Times New Roman" w:hAnsi="Times New Roman" w:cs="Times New Roman"/>
          <w:sz w:val="21"/>
          <w:szCs w:val="21"/>
        </w:rPr>
        <w:t>и від 14.12.2023 № 7531/7572 «Про бюджет міста Києва на 2024 рік», сума до сплати у 2024 році на період дії воєнного стану розмір пайової участі (внеску) власників тимчасових споруд торговельного, побутового, соціально-культурного чи іншого призначення для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здійснення підприємницької діяльності становить 50 % від суми, зазначеної у договорах щодо пайової участі (внеску) в утриманні об'єктів благоустрою визначеною в п. 1.2.</w:t>
      </w:r>
    </w:p>
    <w:p w:rsidR="00F02452" w:rsidRDefault="00F02452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:rsidR="00F02452" w:rsidRDefault="00F02452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:rsidR="00F02452" w:rsidRDefault="0078110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ІІ. Права та обов’язки Сторін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2.1. Сторона 1 зобов’язана перерахувати пайовий внесок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у сумі 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7 520,96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грн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(сім тисяч п’ятсот двадцять гривень дев’яносто шість копійок)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за період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>20 листопада 2024  року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до </w:t>
      </w:r>
      <w:r>
        <w:rPr>
          <w:rFonts w:ascii="Times New Roman" w:eastAsia="Times New Roman" w:hAnsi="Times New Roman" w:cs="Times New Roman"/>
          <w:b/>
          <w:color w:val="FF0000"/>
          <w:sz w:val="21"/>
          <w:szCs w:val="21"/>
        </w:rPr>
        <w:t xml:space="preserve">19 травня 2025  року </w:t>
      </w:r>
      <w:r>
        <w:rPr>
          <w:rFonts w:ascii="Times New Roman" w:eastAsia="Times New Roman" w:hAnsi="Times New Roman" w:cs="Times New Roman"/>
          <w:sz w:val="21"/>
          <w:szCs w:val="21"/>
        </w:rPr>
        <w:t>на умовах, визначених у цьому Договорі.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Сторона 1 сплачує пайовий внесок в повній сумі протягом 10 днів від дати До</w:t>
      </w:r>
      <w:r>
        <w:rPr>
          <w:rFonts w:ascii="Times New Roman" w:eastAsia="Times New Roman" w:hAnsi="Times New Roman" w:cs="Times New Roman"/>
          <w:sz w:val="21"/>
          <w:szCs w:val="21"/>
        </w:rPr>
        <w:t>говору на бюджетний рахунок цільового фонду спеціального фонду міського бюджету за наступними реквізитами: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2.1.1.Одержувач : 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 xml:space="preserve">ГУК у </w:t>
      </w:r>
      <w:proofErr w:type="spellStart"/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>м.Києві</w:t>
      </w:r>
      <w:proofErr w:type="spellEnd"/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 xml:space="preserve"> Подільського р-н.</w:t>
      </w:r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2.1.2.Банк одержувача: 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>Казначейство України (ЕАП)</w:t>
      </w:r>
      <w:r>
        <w:rPr>
          <w:rFonts w:ascii="Times New Roman" w:eastAsia="Times New Roman" w:hAnsi="Times New Roman" w:cs="Times New Roman"/>
          <w:sz w:val="21"/>
          <w:szCs w:val="21"/>
        </w:rPr>
        <w:t>;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2.1.3. Код ЄДРПОУ: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 xml:space="preserve"> 37993783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; 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2.1.4. Розрахунковий рахунок (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IBan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>) :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>UA178999980314131937000026008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FF0000"/>
          <w:sz w:val="21"/>
          <w:szCs w:val="21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sz w:val="21"/>
          <w:szCs w:val="21"/>
        </w:rPr>
        <w:t xml:space="preserve">2.1.6. Призначення платежу:*;101;КДБ 50110004 пайовий внесок в утриманні об’єкта благоустрою, згідно договору № 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>05099-25/28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від 16.11.2024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року.</w:t>
      </w:r>
    </w:p>
    <w:p w:rsidR="00F02452" w:rsidRDefault="0078110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2.2. Сторона 2 за умови належного виконання Стороною 1  своїх обов’язків, що випливають з цього Договору, відповідно до вимог законодавства, зобов’язана в порядку, визначеному цим Договором, видати Стороні 1 документ що посвідчує факт сплати пайової участі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(інформаційний талон). 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2.3. Сторона 1 має право: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1) вимагати від Виконавця усунення виявлених недоліків щодо утримання території об’єкта благоустрою;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2) отримувати від Виконавця інформацію про використання Виконавцем внесених Замовником обсягів пайової у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часті в утриманні території у розмірі, установленому в пункті 1.2 цього Договору. 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2.4. Сторона 1 зобов’язується: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1) своєчасно сплачувати пайову участь в утриманні об’єкта благоустрою у розмірі, установленому в пункті 1.2 цього Договору;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lastRenderedPageBreak/>
        <w:t xml:space="preserve">2) у разі виникнення загрози або настання надзвичайних ситуацій, пов'язаних з природною стихією: ураган, землетрус, сильний снігопад, ожеледиця тощо, сприяти Виконавцю у запобіганні та ліквідації їхніх наслідків. 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1"/>
          <w:szCs w:val="21"/>
        </w:rPr>
        <w:t>ІІІ. Відповідальність сторін за невиконанн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я умов Договору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За невиконання або неналежне виконання умов цього Договору сторони несуть відповідальність згідно із законодавством.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Замовник за прострочення платежу сплачує пеню в розмірі подвійної облікової ставки Національного банку України, що діяла у </w:t>
      </w:r>
      <w:r>
        <w:rPr>
          <w:rFonts w:ascii="Times New Roman" w:eastAsia="Times New Roman" w:hAnsi="Times New Roman" w:cs="Times New Roman"/>
          <w:sz w:val="21"/>
          <w:szCs w:val="21"/>
        </w:rPr>
        <w:t>період, за який сплачується пеня.</w:t>
      </w:r>
    </w:p>
    <w:p w:rsidR="00F02452" w:rsidRDefault="0078110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У разі виникнення у Замовника заборгованості з оплати пайової участі в утриманні об’єкта благоустрою у розмірі, встановленому в пункті 1.2 цього Договору Сторони за взаємною згодою та у порядку, передбаченому законодавство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м, складають графік погашення заборгованості, який додається до цього Договору та є його невід’ємною частиною. 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1"/>
          <w:szCs w:val="21"/>
        </w:rPr>
        <w:t>IV. Розв'язання спорів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Спори за цим Договором між Сторонами розв'язуються шляхом проведення переговорів або в судовому порядку.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V. Форс-мажорні 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>обставини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Сторони звільняються від відповідальності за цим Договором у разі настання непереборної сили (дії надзвичайних ситуацій техногенного, природного або екологічного характеру), що унеможливлює його виконання. 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1"/>
          <w:szCs w:val="21"/>
        </w:rPr>
        <w:t>VI. Строк дії Договору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6.1. Цей Договір набирає чинності з дати його укладення та діє до </w:t>
      </w:r>
      <w:r>
        <w:rPr>
          <w:rFonts w:ascii="Times New Roman" w:eastAsia="Times New Roman" w:hAnsi="Times New Roman" w:cs="Times New Roman"/>
          <w:color w:val="FF0000"/>
          <w:sz w:val="21"/>
          <w:szCs w:val="21"/>
        </w:rPr>
        <w:t>19 травня 2025  року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6.2. Закінчення строку чинності цього Договору не звільняє Сторони від відповідальності за його порушення, яке мало місце під час дії цього Договору.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6.3. Договір може </w:t>
      </w:r>
      <w:r>
        <w:rPr>
          <w:rFonts w:ascii="Times New Roman" w:eastAsia="Times New Roman" w:hAnsi="Times New Roman" w:cs="Times New Roman"/>
          <w:sz w:val="21"/>
          <w:szCs w:val="21"/>
        </w:rPr>
        <w:t>бути про</w:t>
      </w:r>
      <w:bookmarkStart w:id="1" w:name="_GoBack"/>
      <w:bookmarkEnd w:id="1"/>
      <w:r>
        <w:rPr>
          <w:rFonts w:ascii="Times New Roman" w:eastAsia="Times New Roman" w:hAnsi="Times New Roman" w:cs="Times New Roman"/>
          <w:sz w:val="21"/>
          <w:szCs w:val="21"/>
        </w:rPr>
        <w:t xml:space="preserve">лонговано відповідно до норм законодавства та цього Договору, за умови якщо комісією з питань розміщення тимчасових споруд, засобів пересувної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</w:rPr>
        <w:t>дрібнороздрібної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</w:rPr>
        <w:t xml:space="preserve"> торговельної мережі, майданчиків для харчування біля стаціонарних закладів ресторанного гос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подарства не прийнято рішення про запровадження додаткових зон обмежень на зазначеній території. 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VII. Умови зміни, розірвання, припинення чинності Договору 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7.1. Зміна умов цього Договору проводиться у письмовій формі за взаємною згодою Сторін. У разі якщ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о не досягнуто такої згоди, спір розв'язується в судовому порядку. 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7.2. Чинність цього Договору припиняється у разі: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1) невиконання Сторонами умов цього Договору;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2) за згодою сторін, якщо інше не встановлено Договором або законом; 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3) за рішенням суду на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вимогу однієї із сторін у разі істотного порушення Договору другою стороною та в інших випадках, встановлених договором або законом;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4)в інших випадках, передбачених законодавством України.</w:t>
      </w:r>
    </w:p>
    <w:p w:rsidR="00F02452" w:rsidRDefault="00781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 xml:space="preserve">5) відповідно до положень визначених у рішенні Київської міської </w:t>
      </w:r>
      <w:r>
        <w:rPr>
          <w:rFonts w:ascii="Times New Roman" w:eastAsia="Times New Roman" w:hAnsi="Times New Roman" w:cs="Times New Roman"/>
          <w:sz w:val="21"/>
          <w:szCs w:val="21"/>
        </w:rPr>
        <w:t>ради..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VIII. Прикінцеві положення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8.1. Цей Договір складений у двох примірниках, які мають однакову юридичну силу. Один примірник зберігається у Замовника, інший – у Виконавця.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8.2. Усі додатки до цього Договору підписуються Сторонами і є його невід’ємною частиною.</w:t>
      </w:r>
    </w:p>
    <w:p w:rsidR="00F02452" w:rsidRDefault="007811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8.3. Додатком до договору є інформаційний талон, який має бути розміщений на вітрині фронтальної частини тимчасової споруди торговельного, побутового, соціально-культу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рного чи іншого призначення для здійснення підприємницької діяльності, лобовому склі засобу пересувної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дрібнороздрібної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торговельної мережі на вході до закладу ресторанного господарства з забезпеченням зчитування спеціального коду інформаційного талону.</w:t>
      </w:r>
    </w:p>
    <w:p w:rsidR="00F02452" w:rsidRDefault="0078110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Ре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квізити сторін</w:t>
      </w:r>
    </w:p>
    <w:tbl>
      <w:tblPr>
        <w:tblStyle w:val="a6"/>
        <w:tblW w:w="947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34"/>
        <w:gridCol w:w="4737"/>
      </w:tblGrid>
      <w:tr w:rsidR="00F02452">
        <w:tc>
          <w:tcPr>
            <w:tcW w:w="4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</w:rPr>
              <w:t>Сосніцька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</w:rPr>
              <w:t xml:space="preserve"> Любов Іванівна</w:t>
            </w:r>
          </w:p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02225, м. Київ, вул. Радунська, 7,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кв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. 86</w:t>
            </w:r>
          </w:p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Реєстраційний номер облікової картки </w:t>
            </w:r>
          </w:p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3004802885</w:t>
            </w:r>
          </w:p>
          <w:p w:rsidR="00F02452" w:rsidRDefault="00F024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___________</w:t>
            </w:r>
          </w:p>
          <w:p w:rsidR="00F02452" w:rsidRDefault="00F0245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F02452" w:rsidRDefault="0078110C">
            <w:pPr>
              <w:spacing w:after="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М. П.</w:t>
            </w:r>
          </w:p>
        </w:tc>
        <w:tc>
          <w:tcPr>
            <w:tcW w:w="4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Департамент містобудування та архітектури виконавчого органу Київської міської ради (Київської міської державної адміністрації)</w:t>
            </w:r>
          </w:p>
          <w:p w:rsidR="00F02452" w:rsidRDefault="007811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01001, м. Київ, вул. Хрещатик, 32</w:t>
            </w:r>
          </w:p>
          <w:p w:rsidR="00F02452" w:rsidRDefault="0078110C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ЄДРПОУ 26345558</w:t>
            </w:r>
          </w:p>
          <w:p w:rsidR="00F02452" w:rsidRDefault="00F02452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F02452" w:rsidRDefault="0078110C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_________________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Липівська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 С. О. </w:t>
            </w:r>
          </w:p>
          <w:p w:rsidR="00F02452" w:rsidRDefault="00F02452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F02452" w:rsidRDefault="0078110C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М. П.</w:t>
            </w:r>
          </w:p>
        </w:tc>
      </w:tr>
    </w:tbl>
    <w:p w:rsidR="00F02452" w:rsidRDefault="00F02452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1"/>
          <w:szCs w:val="21"/>
        </w:rPr>
      </w:pPr>
    </w:p>
    <w:sectPr w:rsidR="00F02452">
      <w:pgSz w:w="11906" w:h="16838"/>
      <w:pgMar w:top="850" w:right="850" w:bottom="85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452"/>
    <w:rsid w:val="0078110C"/>
    <w:rsid w:val="00F02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E51067-F704-43F5-8329-00424F90E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5203</Words>
  <Characters>2966</Characters>
  <Application>Microsoft Office Word</Application>
  <DocSecurity>0</DocSecurity>
  <Lines>24</Lines>
  <Paragraphs>16</Paragraphs>
  <ScaleCrop>false</ScaleCrop>
  <Company/>
  <LinksUpToDate>false</LinksUpToDate>
  <CharactersWithSpaces>8153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Попович-Зинченко Марина</cp:lastModifiedBy>
  <cp:revision>2</cp:revision>
  <dcterms:created xsi:type="dcterms:W3CDTF">2025-04-07T12:39:00Z</dcterms:created>
  <dcterms:modified xsi:type="dcterms:W3CDTF">2025-04-07T12:40:00Z</dcterms:modified>
</cp:coreProperties>
</file>