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1587" w:rsidRPr="00F660CF" w:rsidRDefault="00581587" w:rsidP="00581587">
      <w:pPr>
        <w:rPr>
          <w:color w:val="000000"/>
          <w:sz w:val="28"/>
          <w:szCs w:val="28"/>
          <w:lang w:eastAsia="uk-UA"/>
        </w:rPr>
      </w:pPr>
      <w:r w:rsidRPr="00F660CF">
        <w:rPr>
          <w:noProof/>
          <w:lang w:eastAsia="uk-UA"/>
        </w:rPr>
        <w:drawing>
          <wp:anchor distT="0" distB="0" distL="114300" distR="114300" simplePos="0" relativeHeight="251658240" behindDoc="0" locked="0" layoutInCell="1" allowOverlap="1">
            <wp:simplePos x="0" y="0"/>
            <wp:positionH relativeFrom="column">
              <wp:posOffset>2799080</wp:posOffset>
            </wp:positionH>
            <wp:positionV relativeFrom="paragraph">
              <wp:posOffset>141605</wp:posOffset>
            </wp:positionV>
            <wp:extent cx="521970" cy="683895"/>
            <wp:effectExtent l="0" t="0" r="0" b="1905"/>
            <wp:wrapNone/>
            <wp:docPr id="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1970" cy="683895"/>
                    </a:xfrm>
                    <a:prstGeom prst="rect">
                      <a:avLst/>
                    </a:prstGeom>
                    <a:noFill/>
                  </pic:spPr>
                </pic:pic>
              </a:graphicData>
            </a:graphic>
          </wp:anchor>
        </w:drawing>
      </w:r>
    </w:p>
    <w:p w:rsidR="00581587" w:rsidRPr="00F660CF" w:rsidRDefault="00581587" w:rsidP="00581587">
      <w:pPr>
        <w:rPr>
          <w:color w:val="000000"/>
          <w:sz w:val="28"/>
          <w:szCs w:val="28"/>
          <w:lang w:eastAsia="uk-UA"/>
        </w:rPr>
      </w:pPr>
    </w:p>
    <w:p w:rsidR="00581587" w:rsidRPr="00F660CF" w:rsidRDefault="00581587" w:rsidP="00581587">
      <w:pPr>
        <w:ind w:left="5670" w:firstLine="240"/>
        <w:jc w:val="right"/>
        <w:rPr>
          <w:sz w:val="28"/>
          <w:szCs w:val="28"/>
          <w:lang w:eastAsia="uk-UA"/>
        </w:rPr>
      </w:pPr>
    </w:p>
    <w:p w:rsidR="00581587" w:rsidRPr="00F660CF" w:rsidRDefault="00581587" w:rsidP="00581587">
      <w:pPr>
        <w:rPr>
          <w:sz w:val="28"/>
          <w:szCs w:val="28"/>
          <w:lang w:eastAsia="uk-UA"/>
        </w:rPr>
      </w:pPr>
    </w:p>
    <w:p w:rsidR="00581587" w:rsidRPr="00F660CF" w:rsidRDefault="00581587" w:rsidP="00581587">
      <w:pPr>
        <w:jc w:val="center"/>
        <w:rPr>
          <w:rFonts w:ascii="AcademyC" w:hAnsi="AcademyC"/>
          <w:color w:val="1F3864"/>
          <w:sz w:val="28"/>
        </w:rPr>
      </w:pPr>
      <w:r w:rsidRPr="00F660CF">
        <w:rPr>
          <w:rFonts w:ascii="AcademyC" w:hAnsi="AcademyC"/>
          <w:color w:val="1F3864"/>
          <w:sz w:val="28"/>
        </w:rPr>
        <w:t xml:space="preserve"> УКРАЇНА</w:t>
      </w:r>
    </w:p>
    <w:p w:rsidR="00581587" w:rsidRPr="00F660CF" w:rsidRDefault="00581587" w:rsidP="00581587">
      <w:pPr>
        <w:jc w:val="center"/>
        <w:rPr>
          <w:rFonts w:ascii="AcademyC" w:hAnsi="AcademyC"/>
          <w:color w:val="1F3864"/>
          <w:sz w:val="28"/>
          <w:szCs w:val="28"/>
        </w:rPr>
      </w:pPr>
      <w:r w:rsidRPr="00F660CF">
        <w:rPr>
          <w:rFonts w:ascii="AcademyC" w:hAnsi="AcademyC"/>
          <w:color w:val="1F3864"/>
          <w:sz w:val="28"/>
          <w:szCs w:val="28"/>
        </w:rPr>
        <w:t xml:space="preserve">   ВИЩА  РАДА  ПРАВОСУДДЯ</w:t>
      </w:r>
    </w:p>
    <w:p w:rsidR="00581587" w:rsidRPr="00F660CF" w:rsidRDefault="00581587" w:rsidP="00581587">
      <w:pPr>
        <w:jc w:val="center"/>
        <w:rPr>
          <w:rFonts w:ascii="AcademyC" w:hAnsi="AcademyC"/>
          <w:color w:val="1F3864"/>
          <w:sz w:val="28"/>
          <w:szCs w:val="28"/>
        </w:rPr>
      </w:pPr>
      <w:r w:rsidRPr="00F660CF">
        <w:rPr>
          <w:rFonts w:ascii="AcademyC" w:hAnsi="AcademyC"/>
          <w:color w:val="1F3864"/>
          <w:sz w:val="28"/>
          <w:szCs w:val="28"/>
        </w:rPr>
        <w:t xml:space="preserve"> СЕКРЕТАРІАТ</w:t>
      </w:r>
    </w:p>
    <w:p w:rsidR="00581587" w:rsidRPr="00F660CF" w:rsidRDefault="00581587" w:rsidP="00581587">
      <w:pPr>
        <w:ind w:hanging="142"/>
        <w:jc w:val="center"/>
        <w:rPr>
          <w:rFonts w:ascii="Book Antiqua" w:hAnsi="Book Antiqua"/>
          <w:color w:val="002060"/>
          <w:spacing w:val="-12"/>
          <w:position w:val="-16"/>
          <w:sz w:val="20"/>
          <w:szCs w:val="20"/>
        </w:rPr>
      </w:pPr>
      <w:r w:rsidRPr="00F660CF">
        <w:rPr>
          <w:rFonts w:ascii="Book Antiqua" w:hAnsi="Book Antiqua"/>
          <w:color w:val="002060"/>
          <w:spacing w:val="-12"/>
          <w:position w:val="-16"/>
          <w:sz w:val="20"/>
          <w:szCs w:val="20"/>
        </w:rPr>
        <w:t xml:space="preserve"> вул. Студентська, 12-А,  м. Київ, 04050, тел.: (044) 489-64-60,  481-06-29,  факс: (044) 484-14-72, e-mail: </w:t>
      </w:r>
      <w:hyperlink r:id="rId8" w:history="1">
        <w:r w:rsidRPr="00F660CF">
          <w:rPr>
            <w:rFonts w:ascii="Book Antiqua" w:hAnsi="Book Antiqua"/>
            <w:color w:val="002060"/>
            <w:spacing w:val="-12"/>
            <w:position w:val="-16"/>
            <w:sz w:val="20"/>
            <w:szCs w:val="20"/>
            <w:u w:val="single"/>
          </w:rPr>
          <w:t>assistant@hcj.gov.ua</w:t>
        </w:r>
      </w:hyperlink>
    </w:p>
    <w:tbl>
      <w:tblPr>
        <w:tblW w:w="9639" w:type="dxa"/>
        <w:tblBorders>
          <w:top w:val="thinThickMediumGap" w:sz="24" w:space="0" w:color="002060"/>
        </w:tblBorders>
        <w:tblLook w:val="04A0" w:firstRow="1" w:lastRow="0" w:firstColumn="1" w:lastColumn="0" w:noHBand="0" w:noVBand="1"/>
      </w:tblPr>
      <w:tblGrid>
        <w:gridCol w:w="7"/>
        <w:gridCol w:w="4766"/>
        <w:gridCol w:w="2183"/>
        <w:gridCol w:w="2683"/>
      </w:tblGrid>
      <w:tr w:rsidR="00581587" w:rsidRPr="00F660CF" w:rsidTr="00510D72">
        <w:trPr>
          <w:trHeight w:val="113"/>
        </w:trPr>
        <w:tc>
          <w:tcPr>
            <w:tcW w:w="9639" w:type="dxa"/>
            <w:gridSpan w:val="4"/>
            <w:tcBorders>
              <w:top w:val="single" w:sz="24" w:space="0" w:color="002060"/>
              <w:left w:val="nil"/>
              <w:bottom w:val="single" w:sz="8" w:space="0" w:color="002060"/>
              <w:right w:val="nil"/>
            </w:tcBorders>
          </w:tcPr>
          <w:p w:rsidR="00581587" w:rsidRPr="00F660CF" w:rsidRDefault="00581587" w:rsidP="00510D72">
            <w:pPr>
              <w:rPr>
                <w:rFonts w:ascii="Book Antiqua" w:hAnsi="Book Antiqua"/>
                <w:color w:val="002060"/>
                <w:spacing w:val="-12"/>
                <w:sz w:val="2"/>
                <w:szCs w:val="2"/>
              </w:rPr>
            </w:pPr>
          </w:p>
        </w:tc>
      </w:tr>
      <w:tr w:rsidR="00581587" w:rsidRPr="00F660CF" w:rsidTr="00510D72">
        <w:trPr>
          <w:gridBefore w:val="1"/>
          <w:wBefore w:w="7" w:type="dxa"/>
        </w:trPr>
        <w:tc>
          <w:tcPr>
            <w:tcW w:w="4766" w:type="dxa"/>
            <w:tcBorders>
              <w:top w:val="nil"/>
              <w:left w:val="nil"/>
              <w:bottom w:val="nil"/>
              <w:right w:val="nil"/>
            </w:tcBorders>
            <w:hideMark/>
          </w:tcPr>
          <w:p w:rsidR="00581587" w:rsidRPr="00F660CF" w:rsidRDefault="005021DD" w:rsidP="00510D72">
            <w:pPr>
              <w:rPr>
                <w:color w:val="1F3864"/>
                <w:u w:val="single"/>
              </w:rPr>
            </w:pPr>
            <w:r>
              <w:rPr>
                <w:color w:val="1F3864"/>
                <w:u w:val="single"/>
              </w:rPr>
              <w:t xml:space="preserve">7 </w:t>
            </w:r>
            <w:r w:rsidR="005F05D4">
              <w:rPr>
                <w:color w:val="1F3864"/>
                <w:u w:val="single"/>
              </w:rPr>
              <w:t>квітня</w:t>
            </w:r>
            <w:r w:rsidR="00581587" w:rsidRPr="00F660CF">
              <w:rPr>
                <w:color w:val="1F3864"/>
                <w:u w:val="single"/>
              </w:rPr>
              <w:t xml:space="preserve"> 2025 року №</w:t>
            </w:r>
            <w:r w:rsidR="00123125">
              <w:rPr>
                <w:color w:val="1F3864"/>
                <w:u w:val="single"/>
              </w:rPr>
              <w:t xml:space="preserve"> 6877</w:t>
            </w:r>
            <w:r w:rsidR="00581587" w:rsidRPr="00F660CF">
              <w:rPr>
                <w:color w:val="1F3864"/>
                <w:u w:val="single"/>
              </w:rPr>
              <w:t>/0/9-25</w:t>
            </w:r>
          </w:p>
          <w:p w:rsidR="00581587" w:rsidRPr="00F660CF" w:rsidRDefault="00581587" w:rsidP="00123125">
            <w:pPr>
              <w:rPr>
                <w:color w:val="1F3864"/>
              </w:rPr>
            </w:pPr>
            <w:r w:rsidRPr="00F660CF">
              <w:rPr>
                <w:color w:val="1F3864"/>
              </w:rPr>
              <w:t>На №  _________________</w:t>
            </w:r>
            <w:bookmarkStart w:id="0" w:name="_GoBack"/>
            <w:bookmarkEnd w:id="0"/>
            <w:r w:rsidRPr="00F660CF">
              <w:rPr>
                <w:color w:val="1F3864"/>
              </w:rPr>
              <w:t>______</w:t>
            </w:r>
          </w:p>
        </w:tc>
        <w:tc>
          <w:tcPr>
            <w:tcW w:w="2183" w:type="dxa"/>
            <w:tcBorders>
              <w:top w:val="nil"/>
              <w:left w:val="nil"/>
              <w:bottom w:val="nil"/>
              <w:right w:val="nil"/>
            </w:tcBorders>
          </w:tcPr>
          <w:p w:rsidR="00581587" w:rsidRPr="00F660CF" w:rsidRDefault="00581587" w:rsidP="00510D72">
            <w:pPr>
              <w:jc w:val="right"/>
              <w:rPr>
                <w:color w:val="002060"/>
              </w:rPr>
            </w:pPr>
          </w:p>
          <w:p w:rsidR="00581587" w:rsidRPr="00F660CF" w:rsidRDefault="00581587" w:rsidP="00510D72">
            <w:pPr>
              <w:jc w:val="right"/>
              <w:rPr>
                <w:color w:val="002060"/>
              </w:rPr>
            </w:pPr>
          </w:p>
        </w:tc>
        <w:tc>
          <w:tcPr>
            <w:tcW w:w="2683" w:type="dxa"/>
            <w:tcBorders>
              <w:top w:val="nil"/>
              <w:left w:val="nil"/>
              <w:bottom w:val="nil"/>
              <w:right w:val="nil"/>
            </w:tcBorders>
          </w:tcPr>
          <w:p w:rsidR="00581587" w:rsidRPr="00F660CF" w:rsidRDefault="00581587" w:rsidP="00510D72">
            <w:pPr>
              <w:jc w:val="right"/>
              <w:rPr>
                <w:color w:val="002060"/>
              </w:rPr>
            </w:pPr>
          </w:p>
        </w:tc>
      </w:tr>
    </w:tbl>
    <w:p w:rsidR="00CE17DB" w:rsidRPr="008441B4" w:rsidRDefault="00BB34ED" w:rsidP="000E063D">
      <w:pPr>
        <w:ind w:left="5670"/>
        <w:rPr>
          <w:b/>
          <w:sz w:val="28"/>
          <w:szCs w:val="28"/>
        </w:rPr>
      </w:pPr>
      <w:r>
        <w:rPr>
          <w:b/>
          <w:sz w:val="28"/>
          <w:szCs w:val="28"/>
        </w:rPr>
        <w:t>Роману Бобову</w:t>
      </w:r>
    </w:p>
    <w:p w:rsidR="000E063D" w:rsidRPr="008441B4" w:rsidRDefault="000E063D" w:rsidP="000E063D">
      <w:pPr>
        <w:ind w:left="5670"/>
        <w:rPr>
          <w:b/>
          <w:sz w:val="28"/>
          <w:szCs w:val="28"/>
        </w:rPr>
      </w:pPr>
    </w:p>
    <w:p w:rsidR="00250DBD" w:rsidRDefault="00BB34ED" w:rsidP="00BB34ED">
      <w:pPr>
        <w:tabs>
          <w:tab w:val="left" w:pos="5954"/>
        </w:tabs>
        <w:ind w:left="5670"/>
        <w:rPr>
          <w:sz w:val="27"/>
          <w:szCs w:val="27"/>
        </w:rPr>
      </w:pPr>
      <w:r w:rsidRPr="00BB34ED">
        <w:rPr>
          <w:sz w:val="28"/>
          <w:szCs w:val="28"/>
          <w:lang w:val="en-US"/>
        </w:rPr>
        <w:t>foi</w:t>
      </w:r>
      <w:r w:rsidRPr="00510D72">
        <w:rPr>
          <w:sz w:val="28"/>
          <w:szCs w:val="28"/>
        </w:rPr>
        <w:t>+</w:t>
      </w:r>
      <w:r w:rsidRPr="00BB34ED">
        <w:rPr>
          <w:sz w:val="28"/>
          <w:szCs w:val="28"/>
          <w:lang w:val="en-US"/>
        </w:rPr>
        <w:t>request</w:t>
      </w:r>
      <w:r w:rsidRPr="00510D72">
        <w:rPr>
          <w:sz w:val="28"/>
          <w:szCs w:val="28"/>
        </w:rPr>
        <w:t>-143617-</w:t>
      </w:r>
      <w:r w:rsidRPr="00BB34ED">
        <w:rPr>
          <w:sz w:val="28"/>
          <w:szCs w:val="28"/>
          <w:lang w:val="en-US"/>
        </w:rPr>
        <w:t>eda</w:t>
      </w:r>
      <w:r w:rsidRPr="00510D72">
        <w:rPr>
          <w:sz w:val="28"/>
          <w:szCs w:val="28"/>
        </w:rPr>
        <w:t>384</w:t>
      </w:r>
      <w:r w:rsidRPr="00BB34ED">
        <w:rPr>
          <w:sz w:val="28"/>
          <w:szCs w:val="28"/>
          <w:lang w:val="en-US"/>
        </w:rPr>
        <w:t>fd</w:t>
      </w:r>
      <w:r w:rsidRPr="00510D72">
        <w:rPr>
          <w:sz w:val="28"/>
          <w:szCs w:val="28"/>
        </w:rPr>
        <w:t>@</w:t>
      </w:r>
      <w:r w:rsidRPr="00BB34ED">
        <w:rPr>
          <w:sz w:val="28"/>
          <w:szCs w:val="28"/>
          <w:lang w:val="en-US"/>
        </w:rPr>
        <w:t>dostup</w:t>
      </w:r>
      <w:r w:rsidRPr="00510D72">
        <w:rPr>
          <w:sz w:val="28"/>
          <w:szCs w:val="28"/>
        </w:rPr>
        <w:t>.</w:t>
      </w:r>
      <w:r w:rsidRPr="00BB34ED">
        <w:rPr>
          <w:sz w:val="28"/>
          <w:szCs w:val="28"/>
          <w:lang w:val="en-US"/>
        </w:rPr>
        <w:t>org</w:t>
      </w:r>
      <w:r w:rsidRPr="00510D72">
        <w:rPr>
          <w:sz w:val="28"/>
          <w:szCs w:val="28"/>
        </w:rPr>
        <w:t>.</w:t>
      </w:r>
      <w:r w:rsidRPr="00BB34ED">
        <w:rPr>
          <w:sz w:val="28"/>
          <w:szCs w:val="28"/>
          <w:lang w:val="en-US"/>
        </w:rPr>
        <w:t>ua</w:t>
      </w:r>
    </w:p>
    <w:p w:rsidR="000E063D" w:rsidRPr="007660D2" w:rsidRDefault="000E063D" w:rsidP="00250DBD">
      <w:pPr>
        <w:tabs>
          <w:tab w:val="left" w:pos="5954"/>
        </w:tabs>
        <w:ind w:left="6379" w:hanging="850"/>
        <w:rPr>
          <w:sz w:val="27"/>
          <w:szCs w:val="27"/>
        </w:rPr>
      </w:pPr>
    </w:p>
    <w:p w:rsidR="005F05D4" w:rsidRPr="005F05D4" w:rsidRDefault="005F05D4" w:rsidP="005F05D4">
      <w:pPr>
        <w:ind w:firstLine="567"/>
        <w:jc w:val="both"/>
        <w:rPr>
          <w:rFonts w:eastAsia="Calibri"/>
          <w:iCs/>
          <w:sz w:val="28"/>
          <w:szCs w:val="28"/>
          <w:lang w:eastAsia="en-US" w:bidi="en-US"/>
        </w:rPr>
      </w:pPr>
      <w:r w:rsidRPr="005F05D4">
        <w:rPr>
          <w:rFonts w:eastAsia="Calibri"/>
          <w:iCs/>
          <w:sz w:val="28"/>
          <w:szCs w:val="28"/>
          <w:lang w:eastAsia="en-US" w:bidi="en-US"/>
        </w:rPr>
        <w:t>У відповідь на Ваш запит від 1 квітня 2025 року (надійшов на електронну адресу Вищої ради правосуддя та зареєстрований 2 квітня 2025 року</w:t>
      </w:r>
      <w:r w:rsidRPr="005F05D4">
        <w:rPr>
          <w:rFonts w:eastAsia="Calibri"/>
          <w:iCs/>
          <w:sz w:val="28"/>
          <w:szCs w:val="28"/>
          <w:lang w:eastAsia="en-US" w:bidi="en-US"/>
        </w:rPr>
        <w:br/>
        <w:t xml:space="preserve">за вх. № 119/0/16-25) щодо </w:t>
      </w:r>
      <w:r w:rsidR="005021DD">
        <w:rPr>
          <w:rFonts w:eastAsia="Calibri"/>
          <w:iCs/>
          <w:sz w:val="28"/>
          <w:szCs w:val="28"/>
          <w:lang w:eastAsia="en-US" w:bidi="en-US"/>
        </w:rPr>
        <w:t xml:space="preserve">надання </w:t>
      </w:r>
      <w:r w:rsidRPr="005F05D4">
        <w:rPr>
          <w:rFonts w:eastAsia="Calibri"/>
          <w:iCs/>
          <w:sz w:val="28"/>
          <w:szCs w:val="28"/>
          <w:lang w:eastAsia="en-US" w:bidi="en-US"/>
        </w:rPr>
        <w:t>інформації про притягнення до дисциплінарної відповідальності судді Шепетівського міськрайонного суду Хмельницької області Огородніка І.В.,</w:t>
      </w:r>
      <w:r w:rsidR="005021DD">
        <w:rPr>
          <w:rFonts w:eastAsia="Calibri"/>
          <w:iCs/>
          <w:sz w:val="28"/>
          <w:szCs w:val="28"/>
          <w:lang w:eastAsia="en-US" w:bidi="en-US"/>
        </w:rPr>
        <w:t xml:space="preserve"> </w:t>
      </w:r>
      <w:r w:rsidR="005021DD" w:rsidRPr="005021DD">
        <w:rPr>
          <w:rFonts w:eastAsia="Calibri"/>
          <w:iCs/>
          <w:sz w:val="28"/>
          <w:szCs w:val="28"/>
          <w:lang w:eastAsia="en-US" w:bidi="en-US"/>
        </w:rPr>
        <w:t>надходження скарг щодо цього судді,</w:t>
      </w:r>
      <w:r w:rsidRPr="005021DD">
        <w:rPr>
          <w:rFonts w:eastAsia="Calibri"/>
          <w:iCs/>
          <w:sz w:val="28"/>
          <w:szCs w:val="28"/>
          <w:lang w:eastAsia="en-US" w:bidi="en-US"/>
        </w:rPr>
        <w:t xml:space="preserve"> </w:t>
      </w:r>
      <w:r w:rsidRPr="005F05D4">
        <w:rPr>
          <w:rFonts w:eastAsia="Calibri"/>
          <w:iCs/>
          <w:sz w:val="28"/>
          <w:szCs w:val="28"/>
          <w:lang w:eastAsia="en-US" w:bidi="en-US"/>
        </w:rPr>
        <w:t xml:space="preserve">а також </w:t>
      </w:r>
      <w:r w:rsidR="005021DD">
        <w:rPr>
          <w:rFonts w:eastAsia="Calibri"/>
          <w:iCs/>
          <w:sz w:val="28"/>
          <w:szCs w:val="28"/>
          <w:lang w:eastAsia="en-US" w:bidi="en-US"/>
        </w:rPr>
        <w:t>«</w:t>
      </w:r>
      <w:r w:rsidRPr="005F05D4">
        <w:rPr>
          <w:rFonts w:eastAsia="Calibri"/>
          <w:iCs/>
          <w:sz w:val="28"/>
          <w:szCs w:val="28"/>
          <w:lang w:eastAsia="en-US" w:bidi="en-US"/>
        </w:rPr>
        <w:t>стосовно здійснених та запланованих перевірок професійної етики</w:t>
      </w:r>
      <w:r w:rsidR="005021DD">
        <w:rPr>
          <w:rFonts w:eastAsia="Calibri"/>
          <w:iCs/>
          <w:sz w:val="28"/>
          <w:szCs w:val="28"/>
          <w:lang w:eastAsia="en-US" w:bidi="en-US"/>
        </w:rPr>
        <w:t xml:space="preserve"> даного судді»</w:t>
      </w:r>
      <w:r w:rsidRPr="005F05D4">
        <w:rPr>
          <w:rFonts w:eastAsia="Calibri"/>
          <w:iCs/>
          <w:sz w:val="28"/>
          <w:szCs w:val="28"/>
          <w:lang w:eastAsia="en-US" w:bidi="en-US"/>
        </w:rPr>
        <w:t>, повідомляємо таке.</w:t>
      </w:r>
    </w:p>
    <w:p w:rsidR="005F05D4" w:rsidRPr="005F05D4" w:rsidRDefault="005F05D4" w:rsidP="005F05D4">
      <w:pPr>
        <w:ind w:firstLine="567"/>
        <w:jc w:val="both"/>
        <w:rPr>
          <w:sz w:val="28"/>
          <w:szCs w:val="28"/>
          <w:lang w:eastAsia="uk-UA"/>
        </w:rPr>
      </w:pPr>
      <w:r w:rsidRPr="005F05D4">
        <w:rPr>
          <w:sz w:val="28"/>
          <w:szCs w:val="28"/>
          <w:lang w:eastAsia="uk-UA"/>
        </w:rPr>
        <w:t xml:space="preserve">Зміст положень Закону України «Про доступ до публічної інформації» свідчить про те, що розпорядник публічної інформації може (і має своїм обов’язком) надати тільки ту публічну інформацію, яку він, з огляду на свій правовий статус, створив, яка певним чином задокументована/відображена на матеріальних носіях інформації і якою він (розпорядник) володіє. </w:t>
      </w:r>
    </w:p>
    <w:p w:rsidR="005F05D4" w:rsidRPr="005F05D4" w:rsidRDefault="005F05D4" w:rsidP="005F05D4">
      <w:pPr>
        <w:ind w:firstLine="567"/>
        <w:contextualSpacing/>
        <w:jc w:val="both"/>
        <w:rPr>
          <w:sz w:val="28"/>
          <w:szCs w:val="28"/>
          <w:lang w:eastAsia="uk-UA"/>
        </w:rPr>
      </w:pPr>
      <w:r w:rsidRPr="005F05D4">
        <w:rPr>
          <w:sz w:val="28"/>
          <w:szCs w:val="28"/>
          <w:lang w:eastAsia="uk-UA"/>
        </w:rPr>
        <w:t xml:space="preserve">Вища рада правосуддя є розпорядником інформації, яка відображена </w:t>
      </w:r>
      <w:r w:rsidRPr="005F05D4">
        <w:rPr>
          <w:sz w:val="28"/>
          <w:szCs w:val="28"/>
          <w:lang w:eastAsia="uk-UA"/>
        </w:rPr>
        <w:br/>
        <w:t>та задокументована будь-якими засобами та на будь-яких носіях, що отримана або створена в процесі здійснення нею своїх повноважень.</w:t>
      </w:r>
    </w:p>
    <w:p w:rsidR="005F05D4" w:rsidRPr="005F05D4" w:rsidRDefault="005F05D4" w:rsidP="005F05D4">
      <w:pPr>
        <w:shd w:val="clear" w:color="auto" w:fill="FFFFFF"/>
        <w:spacing w:after="150"/>
        <w:ind w:right="-142" w:firstLine="567"/>
        <w:contextualSpacing/>
        <w:jc w:val="both"/>
        <w:rPr>
          <w:sz w:val="28"/>
          <w:szCs w:val="28"/>
          <w:lang w:eastAsia="uk-UA"/>
        </w:rPr>
      </w:pPr>
      <w:r w:rsidRPr="005F05D4">
        <w:rPr>
          <w:sz w:val="28"/>
          <w:szCs w:val="28"/>
          <w:lang w:eastAsia="uk-UA"/>
        </w:rPr>
        <w:t>За наявними даними автоматизованої системи діловодства  Вищої ради правосуддя до Вищої ради правосуддя надійшло</w:t>
      </w:r>
      <w:r w:rsidR="005021DD">
        <w:rPr>
          <w:sz w:val="28"/>
          <w:szCs w:val="28"/>
          <w:lang w:eastAsia="uk-UA"/>
        </w:rPr>
        <w:t xml:space="preserve"> </w:t>
      </w:r>
      <w:r w:rsidRPr="005F05D4">
        <w:rPr>
          <w:sz w:val="28"/>
          <w:szCs w:val="28"/>
          <w:lang w:eastAsia="uk-UA"/>
        </w:rPr>
        <w:t xml:space="preserve">17 дисциплінарних скарг на дії </w:t>
      </w:r>
      <w:bookmarkStart w:id="1" w:name="_Hlk194672023"/>
      <w:r w:rsidRPr="005F05D4">
        <w:rPr>
          <w:sz w:val="28"/>
          <w:szCs w:val="28"/>
          <w:lang w:eastAsia="uk-UA"/>
        </w:rPr>
        <w:t xml:space="preserve">судді Шепетівського міськрайонного суду Хмельницької області </w:t>
      </w:r>
      <w:r w:rsidR="00AB17C7" w:rsidRPr="00AB17C7">
        <w:rPr>
          <w:sz w:val="28"/>
          <w:szCs w:val="28"/>
          <w:lang w:eastAsia="uk-UA"/>
        </w:rPr>
        <w:br/>
      </w:r>
      <w:r w:rsidRPr="005F05D4">
        <w:rPr>
          <w:sz w:val="28"/>
          <w:szCs w:val="28"/>
          <w:lang w:eastAsia="uk-UA"/>
        </w:rPr>
        <w:t>Огородніка І.В.</w:t>
      </w:r>
      <w:r w:rsidR="005021DD">
        <w:rPr>
          <w:sz w:val="28"/>
          <w:szCs w:val="28"/>
          <w:lang w:eastAsia="uk-UA"/>
        </w:rPr>
        <w:t xml:space="preserve">, з яких: </w:t>
      </w:r>
      <w:bookmarkEnd w:id="1"/>
      <w:r w:rsidRPr="005F05D4">
        <w:rPr>
          <w:sz w:val="28"/>
          <w:szCs w:val="28"/>
          <w:lang w:eastAsia="uk-UA"/>
        </w:rPr>
        <w:t>10 скарг залишені без розгляду та повернуті скаржникам; за результатами розгляду 5 скарг Дисциплінарними палатами Вищої ради правосуддя відмов</w:t>
      </w:r>
      <w:r w:rsidR="005021DD">
        <w:rPr>
          <w:sz w:val="28"/>
          <w:szCs w:val="28"/>
          <w:lang w:eastAsia="uk-UA"/>
        </w:rPr>
        <w:t>лено</w:t>
      </w:r>
      <w:r w:rsidRPr="005F05D4">
        <w:rPr>
          <w:sz w:val="28"/>
          <w:szCs w:val="28"/>
          <w:lang w:eastAsia="uk-UA"/>
        </w:rPr>
        <w:t xml:space="preserve"> у відкритті дисциплінарної справи</w:t>
      </w:r>
      <w:r w:rsidR="005021DD">
        <w:rPr>
          <w:sz w:val="28"/>
          <w:szCs w:val="28"/>
          <w:lang w:eastAsia="uk-UA"/>
        </w:rPr>
        <w:t>;</w:t>
      </w:r>
      <w:r w:rsidRPr="005F05D4">
        <w:rPr>
          <w:sz w:val="28"/>
          <w:szCs w:val="28"/>
          <w:lang w:eastAsia="uk-UA"/>
        </w:rPr>
        <w:t xml:space="preserve"> 2 скарги не розглянут</w:t>
      </w:r>
      <w:r w:rsidR="005021DD">
        <w:rPr>
          <w:sz w:val="28"/>
          <w:szCs w:val="28"/>
          <w:lang w:eastAsia="uk-UA"/>
        </w:rPr>
        <w:t>і</w:t>
      </w:r>
      <w:r w:rsidRPr="005F05D4">
        <w:rPr>
          <w:sz w:val="28"/>
          <w:szCs w:val="28"/>
          <w:lang w:eastAsia="uk-UA"/>
        </w:rPr>
        <w:t xml:space="preserve">. </w:t>
      </w:r>
    </w:p>
    <w:p w:rsidR="005F05D4" w:rsidRPr="005F05D4" w:rsidRDefault="005F05D4" w:rsidP="005F05D4">
      <w:pPr>
        <w:shd w:val="clear" w:color="auto" w:fill="FFFFFF"/>
        <w:ind w:right="-142" w:firstLine="567"/>
        <w:contextualSpacing/>
        <w:jc w:val="both"/>
        <w:rPr>
          <w:sz w:val="28"/>
          <w:szCs w:val="28"/>
          <w:lang w:eastAsia="uk-UA"/>
        </w:rPr>
      </w:pPr>
      <w:r w:rsidRPr="005F05D4">
        <w:rPr>
          <w:sz w:val="28"/>
          <w:szCs w:val="28"/>
          <w:lang w:eastAsia="uk-UA"/>
        </w:rPr>
        <w:t>Дисциплінарними палатами Вищої ради правосуддя не ухвалювалися рішення про притягнення судді Шепетівського міськрайонного суду Хмельницької області Огородніка І.В.  до дисциплінарної відповідальності.</w:t>
      </w:r>
    </w:p>
    <w:p w:rsidR="005F05D4" w:rsidRPr="005F05D4" w:rsidRDefault="005F05D4" w:rsidP="005F05D4">
      <w:pPr>
        <w:spacing w:after="100" w:afterAutospacing="1"/>
        <w:ind w:firstLine="567"/>
        <w:contextualSpacing/>
        <w:jc w:val="both"/>
        <w:rPr>
          <w:rFonts w:eastAsia="Calibri"/>
          <w:sz w:val="28"/>
          <w:szCs w:val="28"/>
        </w:rPr>
      </w:pPr>
      <w:r w:rsidRPr="005F05D4">
        <w:rPr>
          <w:kern w:val="36"/>
          <w:sz w:val="28"/>
          <w:szCs w:val="28"/>
          <w:lang w:eastAsia="uk-UA"/>
        </w:rPr>
        <w:t>Додатково інформуємо, що до набрання чинності Законом України</w:t>
      </w:r>
      <w:r w:rsidRPr="005F05D4">
        <w:rPr>
          <w:kern w:val="36"/>
          <w:sz w:val="28"/>
          <w:szCs w:val="28"/>
          <w:lang w:eastAsia="uk-UA"/>
        </w:rPr>
        <w:br/>
        <w:t>від 2 червня 2016 року № 1402-VIII «Про судоустрій і статус суддів» дисциплінарне провадження щодо суддів місцевих та апеляційних судів здійснювала Вища кваліфікаційна комісія суддів України.</w:t>
      </w:r>
      <w:r w:rsidRPr="005F05D4">
        <w:rPr>
          <w:rFonts w:eastAsia="Calibri"/>
          <w:sz w:val="28"/>
          <w:szCs w:val="28"/>
        </w:rPr>
        <w:t xml:space="preserve"> </w:t>
      </w:r>
    </w:p>
    <w:p w:rsidR="005F05D4" w:rsidRPr="005F05D4" w:rsidRDefault="005F05D4" w:rsidP="005F05D4">
      <w:pPr>
        <w:ind w:firstLine="567"/>
        <w:jc w:val="both"/>
        <w:rPr>
          <w:rFonts w:eastAsia="Calibri"/>
          <w:sz w:val="28"/>
          <w:szCs w:val="28"/>
        </w:rPr>
      </w:pPr>
      <w:r w:rsidRPr="005F05D4">
        <w:rPr>
          <w:rFonts w:eastAsia="Calibri"/>
          <w:sz w:val="28"/>
          <w:szCs w:val="28"/>
        </w:rPr>
        <w:lastRenderedPageBreak/>
        <w:t>Щодо перевірок дотримання суддею Шепетівського міськрайонного суду Хмельницької області Огородніком І.В. вимог професійної етики інформуємо про таке.</w:t>
      </w:r>
    </w:p>
    <w:p w:rsidR="005F05D4" w:rsidRPr="005F05D4" w:rsidRDefault="005F05D4" w:rsidP="005F05D4">
      <w:pPr>
        <w:ind w:firstLine="567"/>
        <w:jc w:val="both"/>
        <w:rPr>
          <w:rFonts w:eastAsia="Calibri"/>
          <w:sz w:val="28"/>
          <w:szCs w:val="28"/>
        </w:rPr>
      </w:pPr>
      <w:r w:rsidRPr="005F05D4">
        <w:rPr>
          <w:rFonts w:eastAsia="Calibri"/>
          <w:sz w:val="28"/>
          <w:szCs w:val="28"/>
        </w:rPr>
        <w:t>Питання стосовно поведінки судді розглядається у  Вищій раді правосуддя в межах визначеної Законом України «Про Вищу раду правосуддя» процедури дисциплінарного провадження, яке розпочинається, зокрема після отримання дисциплінарної скарги, поданої відповідно до вимог статті 107 Закону України «Про судоустрій і статус суддів».</w:t>
      </w:r>
    </w:p>
    <w:p w:rsidR="00532E76" w:rsidRDefault="00532E76" w:rsidP="005F05D4">
      <w:pPr>
        <w:numPr>
          <w:ilvl w:val="0"/>
          <w:numId w:val="3"/>
        </w:numPr>
        <w:tabs>
          <w:tab w:val="clear" w:pos="2832"/>
          <w:tab w:val="num" w:pos="0"/>
          <w:tab w:val="num" w:pos="567"/>
        </w:tabs>
        <w:ind w:left="0" w:firstLine="567"/>
        <w:jc w:val="both"/>
        <w:rPr>
          <w:sz w:val="28"/>
          <w:szCs w:val="28"/>
          <w:lang w:eastAsia="uk-UA"/>
        </w:rPr>
      </w:pPr>
      <w:r w:rsidRPr="00532E76">
        <w:rPr>
          <w:sz w:val="28"/>
          <w:szCs w:val="28"/>
          <w:lang w:eastAsia="uk-UA"/>
        </w:rPr>
        <w:t>Згідно з положеннями статті 42 Закону України «Про Вищу раду правосуддя» дисциплінарні провадження щодо суддів здійснюють Дисциплінарні палати Вищої ради правосуддя.</w:t>
      </w:r>
    </w:p>
    <w:p w:rsidR="005F05D4" w:rsidRDefault="005F05D4" w:rsidP="005F05D4">
      <w:pPr>
        <w:numPr>
          <w:ilvl w:val="0"/>
          <w:numId w:val="3"/>
        </w:numPr>
        <w:tabs>
          <w:tab w:val="clear" w:pos="2832"/>
          <w:tab w:val="num" w:pos="0"/>
          <w:tab w:val="num" w:pos="567"/>
        </w:tabs>
        <w:ind w:left="0" w:firstLine="567"/>
        <w:jc w:val="both"/>
        <w:rPr>
          <w:sz w:val="28"/>
          <w:szCs w:val="28"/>
          <w:lang w:eastAsia="uk-UA"/>
        </w:rPr>
      </w:pPr>
      <w:r w:rsidRPr="005F05D4">
        <w:rPr>
          <w:sz w:val="28"/>
          <w:szCs w:val="28"/>
          <w:lang w:eastAsia="uk-UA"/>
        </w:rPr>
        <w:t xml:space="preserve">Суддю може бути притягнуто до дисциплінарної відповідальності </w:t>
      </w:r>
      <w:r w:rsidR="008C46CA">
        <w:rPr>
          <w:sz w:val="28"/>
          <w:szCs w:val="28"/>
          <w:lang w:eastAsia="uk-UA"/>
        </w:rPr>
        <w:t>у</w:t>
      </w:r>
      <w:r w:rsidRPr="005F05D4">
        <w:rPr>
          <w:sz w:val="28"/>
          <w:szCs w:val="28"/>
          <w:lang w:eastAsia="uk-UA"/>
        </w:rPr>
        <w:t xml:space="preserve"> порядку дисциплінарного провадження з підстав, </w:t>
      </w:r>
      <w:r w:rsidR="00532E76">
        <w:rPr>
          <w:sz w:val="28"/>
          <w:szCs w:val="28"/>
          <w:lang w:eastAsia="uk-UA"/>
        </w:rPr>
        <w:t xml:space="preserve">зокрема </w:t>
      </w:r>
      <w:r w:rsidRPr="005F05D4">
        <w:rPr>
          <w:sz w:val="28"/>
          <w:szCs w:val="28"/>
          <w:lang w:eastAsia="uk-UA"/>
        </w:rPr>
        <w:t xml:space="preserve">передбачених </w:t>
      </w:r>
      <w:r w:rsidR="00532E76" w:rsidRPr="00532E76">
        <w:rPr>
          <w:sz w:val="28"/>
          <w:szCs w:val="28"/>
          <w:lang w:eastAsia="uk-UA"/>
        </w:rPr>
        <w:t xml:space="preserve">пунктом 3 частини першої </w:t>
      </w:r>
      <w:r w:rsidRPr="005F05D4">
        <w:rPr>
          <w:sz w:val="28"/>
          <w:szCs w:val="28"/>
          <w:lang w:eastAsia="uk-UA"/>
        </w:rPr>
        <w:t>статтею 106 Закону України «Про судоустрій і статус суддів»</w:t>
      </w:r>
      <w:r w:rsidR="00532E76" w:rsidRPr="00510D72">
        <w:rPr>
          <w:sz w:val="28"/>
          <w:szCs w:val="28"/>
          <w:lang w:eastAsia="uk-UA"/>
        </w:rPr>
        <w:t xml:space="preserve"> </w:t>
      </w:r>
      <w:r w:rsidR="008C46CA" w:rsidRPr="008C46CA">
        <w:rPr>
          <w:sz w:val="28"/>
          <w:szCs w:val="28"/>
          <w:lang w:eastAsia="uk-UA"/>
        </w:rPr>
        <w:t>(допущення суддею поведінки, що порочить звання судді або підриває авторитет правосуддя, зокрема в питаннях моралі, чесності, непідкупності, відповідності способу життя судді його статусу, дотримання інших норм суддівської етики та стандартів поведінки, які забезпечують суспільну довіру до суду, прояв неповаги до інших суддів, адвокатів, експертів, свідків чи інших учасників судового процесу)</w:t>
      </w:r>
      <w:r w:rsidR="005021DD">
        <w:rPr>
          <w:sz w:val="28"/>
          <w:szCs w:val="28"/>
          <w:lang w:eastAsia="uk-UA"/>
        </w:rPr>
        <w:t>.</w:t>
      </w:r>
    </w:p>
    <w:p w:rsidR="005021DD" w:rsidRPr="007E0904" w:rsidRDefault="007E0904" w:rsidP="005021DD">
      <w:pPr>
        <w:numPr>
          <w:ilvl w:val="0"/>
          <w:numId w:val="3"/>
        </w:numPr>
        <w:tabs>
          <w:tab w:val="clear" w:pos="2832"/>
          <w:tab w:val="num" w:pos="0"/>
          <w:tab w:val="num" w:pos="567"/>
        </w:tabs>
        <w:ind w:left="0" w:firstLine="567"/>
        <w:jc w:val="both"/>
        <w:rPr>
          <w:sz w:val="28"/>
          <w:szCs w:val="28"/>
          <w:lang w:eastAsia="uk-UA"/>
        </w:rPr>
      </w:pPr>
      <w:r w:rsidRPr="007E0904">
        <w:rPr>
          <w:sz w:val="28"/>
          <w:szCs w:val="28"/>
          <w:lang w:eastAsia="uk-UA"/>
        </w:rPr>
        <w:t>Таким чином,</w:t>
      </w:r>
      <w:r w:rsidRPr="007E0904">
        <w:rPr>
          <w:sz w:val="28"/>
          <w:szCs w:val="28"/>
        </w:rPr>
        <w:t xml:space="preserve"> наявність або відсутність в діях судді дисциплінарного проступку </w:t>
      </w:r>
      <w:r w:rsidRPr="007E0904">
        <w:rPr>
          <w:sz w:val="28"/>
          <w:szCs w:val="28"/>
          <w:lang w:eastAsia="uk-UA"/>
        </w:rPr>
        <w:t xml:space="preserve">може бути встановлена виключно Дисциплінарною палатою Вищої ради правосуддя на засіданні при розгляді відповідного питання у визначеному законом порядку та з урахуванням обставин конкретної дисциплінарної справи. </w:t>
      </w:r>
    </w:p>
    <w:p w:rsidR="00510D72" w:rsidRDefault="008C46CA" w:rsidP="00510D72">
      <w:pPr>
        <w:ind w:right="1" w:firstLine="567"/>
        <w:jc w:val="both"/>
        <w:rPr>
          <w:sz w:val="28"/>
          <w:szCs w:val="28"/>
          <w:lang w:val="en-US"/>
        </w:rPr>
      </w:pPr>
      <w:r w:rsidRPr="008C46CA">
        <w:rPr>
          <w:sz w:val="28"/>
          <w:szCs w:val="28"/>
          <w:lang w:eastAsia="uk-UA"/>
        </w:rPr>
        <w:t>Дисциплінарні палати Вищої ради правосуддя не ухвалювали рішення про відкриття дисциплінарних справ стосовно судді Шепетівського міськрайонного суду Хмельницької області Огородніка І.В.</w:t>
      </w:r>
      <w:r w:rsidR="00510D72" w:rsidRPr="00510D72">
        <w:rPr>
          <w:sz w:val="28"/>
          <w:szCs w:val="28"/>
        </w:rPr>
        <w:t xml:space="preserve"> </w:t>
      </w:r>
    </w:p>
    <w:p w:rsidR="005021DD" w:rsidRPr="00510D72" w:rsidRDefault="00510D72" w:rsidP="00510D72">
      <w:pPr>
        <w:ind w:right="1" w:firstLine="567"/>
        <w:jc w:val="both"/>
        <w:rPr>
          <w:sz w:val="28"/>
          <w:szCs w:val="28"/>
          <w:lang w:val="en-US"/>
        </w:rPr>
      </w:pPr>
      <w:r w:rsidRPr="0029701E">
        <w:rPr>
          <w:sz w:val="28"/>
          <w:szCs w:val="28"/>
        </w:rPr>
        <w:t xml:space="preserve">Оскарження рішень, дій чи бездіяльності розпорядників інформації до суду здійснюється відповідно до Кодексу адміністративного судочинства України (частина третя статті 23 </w:t>
      </w:r>
      <w:r w:rsidRPr="0029701E">
        <w:rPr>
          <w:sz w:val="28"/>
          <w:szCs w:val="28"/>
          <w:shd w:val="clear" w:color="auto" w:fill="FFFFFF"/>
        </w:rPr>
        <w:t>Закону України «Про доступ до публічної інформації»</w:t>
      </w:r>
      <w:r w:rsidRPr="0029701E">
        <w:rPr>
          <w:sz w:val="28"/>
          <w:szCs w:val="28"/>
        </w:rPr>
        <w:t>).</w:t>
      </w:r>
    </w:p>
    <w:p w:rsidR="007E0904" w:rsidRPr="007E0904" w:rsidRDefault="007E0904" w:rsidP="007E0904">
      <w:pPr>
        <w:tabs>
          <w:tab w:val="left" w:pos="9355"/>
        </w:tabs>
        <w:jc w:val="both"/>
        <w:rPr>
          <w:sz w:val="28"/>
          <w:szCs w:val="28"/>
          <w:lang w:val="en-US" w:eastAsia="uk-UA"/>
        </w:rPr>
      </w:pPr>
    </w:p>
    <w:p w:rsidR="007E0904" w:rsidRPr="007E0904" w:rsidRDefault="007E0904" w:rsidP="007E0904">
      <w:pPr>
        <w:tabs>
          <w:tab w:val="left" w:pos="9355"/>
        </w:tabs>
        <w:jc w:val="both"/>
        <w:rPr>
          <w:sz w:val="28"/>
          <w:szCs w:val="28"/>
          <w:lang w:val="en-US" w:eastAsia="uk-UA"/>
        </w:rPr>
      </w:pPr>
    </w:p>
    <w:p w:rsidR="005F05D4" w:rsidRPr="005F05D4" w:rsidRDefault="005F05D4" w:rsidP="005F05D4">
      <w:pPr>
        <w:contextualSpacing/>
        <w:jc w:val="both"/>
        <w:rPr>
          <w:b/>
          <w:sz w:val="28"/>
          <w:szCs w:val="28"/>
          <w:shd w:val="clear" w:color="auto" w:fill="FFFFFF"/>
          <w:lang w:eastAsia="uk-UA"/>
        </w:rPr>
      </w:pPr>
      <w:r w:rsidRPr="005F05D4">
        <w:rPr>
          <w:b/>
          <w:sz w:val="28"/>
          <w:szCs w:val="28"/>
          <w:shd w:val="clear" w:color="auto" w:fill="FFFFFF"/>
          <w:lang w:eastAsia="uk-UA"/>
        </w:rPr>
        <w:t xml:space="preserve">Начальник управління </w:t>
      </w:r>
    </w:p>
    <w:p w:rsidR="005F05D4" w:rsidRPr="005F05D4" w:rsidRDefault="005F05D4" w:rsidP="005F05D4">
      <w:pPr>
        <w:contextualSpacing/>
        <w:jc w:val="both"/>
        <w:rPr>
          <w:b/>
          <w:sz w:val="28"/>
          <w:szCs w:val="28"/>
          <w:shd w:val="clear" w:color="auto" w:fill="FFFFFF"/>
          <w:lang w:eastAsia="uk-UA"/>
        </w:rPr>
      </w:pPr>
      <w:r w:rsidRPr="005F05D4">
        <w:rPr>
          <w:b/>
          <w:sz w:val="28"/>
          <w:szCs w:val="28"/>
          <w:shd w:val="clear" w:color="auto" w:fill="FFFFFF"/>
          <w:lang w:eastAsia="uk-UA"/>
        </w:rPr>
        <w:t>по роботі зі зверненнями,</w:t>
      </w:r>
    </w:p>
    <w:p w:rsidR="005F05D4" w:rsidRPr="005F05D4" w:rsidRDefault="005F05D4" w:rsidP="005F05D4">
      <w:pPr>
        <w:contextualSpacing/>
        <w:jc w:val="both"/>
        <w:rPr>
          <w:b/>
          <w:sz w:val="28"/>
          <w:szCs w:val="28"/>
          <w:shd w:val="clear" w:color="auto" w:fill="FFFFFF"/>
          <w:lang w:eastAsia="uk-UA"/>
        </w:rPr>
      </w:pPr>
      <w:r w:rsidRPr="005F05D4">
        <w:rPr>
          <w:b/>
          <w:sz w:val="28"/>
          <w:szCs w:val="28"/>
          <w:shd w:val="clear" w:color="auto" w:fill="FFFFFF"/>
          <w:lang w:eastAsia="uk-UA"/>
        </w:rPr>
        <w:t xml:space="preserve">запитами на інформацію </w:t>
      </w:r>
    </w:p>
    <w:p w:rsidR="005F05D4" w:rsidRPr="005F05D4" w:rsidRDefault="005F05D4" w:rsidP="005F05D4">
      <w:pPr>
        <w:contextualSpacing/>
        <w:jc w:val="both"/>
        <w:rPr>
          <w:b/>
          <w:sz w:val="28"/>
          <w:szCs w:val="28"/>
          <w:shd w:val="clear" w:color="auto" w:fill="FFFFFF"/>
          <w:lang w:eastAsia="uk-UA"/>
        </w:rPr>
      </w:pPr>
      <w:r w:rsidRPr="005F05D4">
        <w:rPr>
          <w:b/>
          <w:sz w:val="28"/>
          <w:szCs w:val="28"/>
          <w:shd w:val="clear" w:color="auto" w:fill="FFFFFF"/>
          <w:lang w:eastAsia="uk-UA"/>
        </w:rPr>
        <w:t>та забезпечення організації</w:t>
      </w:r>
    </w:p>
    <w:p w:rsidR="000E063D" w:rsidRPr="008441B4" w:rsidRDefault="005F05D4" w:rsidP="00532E76">
      <w:pPr>
        <w:contextualSpacing/>
        <w:jc w:val="both"/>
        <w:rPr>
          <w:sz w:val="28"/>
          <w:szCs w:val="28"/>
        </w:rPr>
      </w:pPr>
      <w:r w:rsidRPr="005F05D4">
        <w:rPr>
          <w:b/>
          <w:sz w:val="28"/>
          <w:szCs w:val="28"/>
          <w:shd w:val="clear" w:color="auto" w:fill="FFFFFF"/>
          <w:lang w:eastAsia="uk-UA"/>
        </w:rPr>
        <w:t>особистого прийому громадян                               Владислав ЛИПІВСЬКИЙ</w:t>
      </w:r>
    </w:p>
    <w:sectPr w:rsidR="000E063D" w:rsidRPr="008441B4" w:rsidSect="00CE17DB">
      <w:headerReference w:type="default" r:id="rId9"/>
      <w:pgSz w:w="11906" w:h="16838"/>
      <w:pgMar w:top="1134" w:right="567" w:bottom="993"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17C7" w:rsidRDefault="00AB17C7" w:rsidP="0080212A">
      <w:r>
        <w:separator/>
      </w:r>
    </w:p>
  </w:endnote>
  <w:endnote w:type="continuationSeparator" w:id="0">
    <w:p w:rsidR="00AB17C7" w:rsidRDefault="00AB17C7" w:rsidP="008021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10022FF" w:usb1="C000E47F" w:usb2="00000029" w:usb3="00000000" w:csb0="000001DF" w:csb1="00000000"/>
  </w:font>
  <w:font w:name="AcademyC">
    <w:panose1 w:val="00000800000000000000"/>
    <w:charset w:val="CC"/>
    <w:family w:val="modern"/>
    <w:notTrueType/>
    <w:pitch w:val="variable"/>
    <w:sig w:usb0="80000283" w:usb1="0000004A" w:usb2="00000000" w:usb3="00000000" w:csb0="00000005" w:csb1="00000000"/>
  </w:font>
  <w:font w:name="Book Antiqua">
    <w:panose1 w:val="02040602050305030304"/>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17C7" w:rsidRDefault="00AB17C7" w:rsidP="0080212A">
      <w:r>
        <w:separator/>
      </w:r>
    </w:p>
  </w:footnote>
  <w:footnote w:type="continuationSeparator" w:id="0">
    <w:p w:rsidR="00AB17C7" w:rsidRDefault="00AB17C7" w:rsidP="0080212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5908025"/>
      <w:docPartObj>
        <w:docPartGallery w:val="Page Numbers (Top of Page)"/>
        <w:docPartUnique/>
      </w:docPartObj>
    </w:sdtPr>
    <w:sdtEndPr/>
    <w:sdtContent>
      <w:p w:rsidR="00AB17C7" w:rsidRDefault="00177AA7">
        <w:pPr>
          <w:pStyle w:val="a7"/>
          <w:jc w:val="center"/>
        </w:pPr>
        <w:r>
          <w:fldChar w:fldCharType="begin"/>
        </w:r>
        <w:r>
          <w:instrText>PAGE   \* MERGEFORMAT</w:instrText>
        </w:r>
        <w:r>
          <w:fldChar w:fldCharType="separate"/>
        </w:r>
        <w:r w:rsidR="00123125">
          <w:rPr>
            <w:noProof/>
          </w:rPr>
          <w:t>2</w:t>
        </w:r>
        <w:r>
          <w:rPr>
            <w:noProof/>
          </w:rPr>
          <w:fldChar w:fldCharType="end"/>
        </w:r>
      </w:p>
    </w:sdtContent>
  </w:sdt>
  <w:p w:rsidR="00AB17C7" w:rsidRDefault="00AB17C7">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2832"/>
        </w:tabs>
        <w:ind w:left="2832" w:firstLine="0"/>
      </w:pPr>
    </w:lvl>
    <w:lvl w:ilvl="1">
      <w:start w:val="1"/>
      <w:numFmt w:val="none"/>
      <w:suff w:val="nothing"/>
      <w:lvlText w:val=""/>
      <w:lvlJc w:val="left"/>
      <w:pPr>
        <w:tabs>
          <w:tab w:val="num" w:pos="2832"/>
        </w:tabs>
        <w:ind w:left="2832" w:firstLine="0"/>
      </w:pPr>
    </w:lvl>
    <w:lvl w:ilvl="2">
      <w:start w:val="1"/>
      <w:numFmt w:val="none"/>
      <w:suff w:val="nothing"/>
      <w:lvlText w:val=""/>
      <w:lvlJc w:val="left"/>
      <w:pPr>
        <w:tabs>
          <w:tab w:val="num" w:pos="2832"/>
        </w:tabs>
        <w:ind w:left="2832" w:firstLine="0"/>
      </w:pPr>
    </w:lvl>
    <w:lvl w:ilvl="3">
      <w:start w:val="1"/>
      <w:numFmt w:val="none"/>
      <w:suff w:val="nothing"/>
      <w:lvlText w:val=""/>
      <w:lvlJc w:val="left"/>
      <w:pPr>
        <w:tabs>
          <w:tab w:val="num" w:pos="2832"/>
        </w:tabs>
        <w:ind w:left="2832" w:firstLine="0"/>
      </w:pPr>
    </w:lvl>
    <w:lvl w:ilvl="4">
      <w:start w:val="1"/>
      <w:numFmt w:val="none"/>
      <w:suff w:val="nothing"/>
      <w:lvlText w:val=""/>
      <w:lvlJc w:val="left"/>
      <w:pPr>
        <w:tabs>
          <w:tab w:val="num" w:pos="2832"/>
        </w:tabs>
        <w:ind w:left="2832" w:firstLine="0"/>
      </w:pPr>
    </w:lvl>
    <w:lvl w:ilvl="5">
      <w:start w:val="1"/>
      <w:numFmt w:val="none"/>
      <w:suff w:val="nothing"/>
      <w:lvlText w:val=""/>
      <w:lvlJc w:val="left"/>
      <w:pPr>
        <w:tabs>
          <w:tab w:val="num" w:pos="2832"/>
        </w:tabs>
        <w:ind w:left="2832" w:firstLine="0"/>
      </w:pPr>
    </w:lvl>
    <w:lvl w:ilvl="6">
      <w:start w:val="1"/>
      <w:numFmt w:val="none"/>
      <w:suff w:val="nothing"/>
      <w:lvlText w:val=""/>
      <w:lvlJc w:val="left"/>
      <w:pPr>
        <w:tabs>
          <w:tab w:val="num" w:pos="2832"/>
        </w:tabs>
        <w:ind w:left="2832" w:firstLine="0"/>
      </w:pPr>
    </w:lvl>
    <w:lvl w:ilvl="7">
      <w:start w:val="1"/>
      <w:numFmt w:val="none"/>
      <w:suff w:val="nothing"/>
      <w:lvlText w:val=""/>
      <w:lvlJc w:val="left"/>
      <w:pPr>
        <w:tabs>
          <w:tab w:val="num" w:pos="2832"/>
        </w:tabs>
        <w:ind w:left="2832" w:firstLine="0"/>
      </w:pPr>
    </w:lvl>
    <w:lvl w:ilvl="8">
      <w:start w:val="1"/>
      <w:numFmt w:val="none"/>
      <w:suff w:val="nothing"/>
      <w:lvlText w:val=""/>
      <w:lvlJc w:val="left"/>
      <w:pPr>
        <w:tabs>
          <w:tab w:val="num" w:pos="2832"/>
        </w:tabs>
        <w:ind w:left="2832" w:firstLine="0"/>
      </w:pPr>
    </w:lvl>
  </w:abstractNum>
  <w:abstractNum w:abstractNumId="1" w15:restartNumberingAfterBreak="0">
    <w:nsid w:val="06F05D10"/>
    <w:multiLevelType w:val="hybridMultilevel"/>
    <w:tmpl w:val="F63E693E"/>
    <w:lvl w:ilvl="0" w:tplc="C758FD10">
      <w:numFmt w:val="bullet"/>
      <w:lvlText w:val="-"/>
      <w:lvlJc w:val="left"/>
      <w:pPr>
        <w:ind w:left="1068" w:hanging="360"/>
      </w:pPr>
      <w:rPr>
        <w:rFonts w:ascii="Times New Roman" w:eastAsia="Calibri" w:hAnsi="Times New Roman" w:cs="Times New Roman" w:hint="default"/>
      </w:rPr>
    </w:lvl>
    <w:lvl w:ilvl="1" w:tplc="04220003">
      <w:start w:val="1"/>
      <w:numFmt w:val="bullet"/>
      <w:lvlText w:val="o"/>
      <w:lvlJc w:val="left"/>
      <w:pPr>
        <w:ind w:left="1788" w:hanging="360"/>
      </w:pPr>
      <w:rPr>
        <w:rFonts w:ascii="Courier New" w:hAnsi="Courier New" w:cs="Courier New" w:hint="default"/>
      </w:rPr>
    </w:lvl>
    <w:lvl w:ilvl="2" w:tplc="04220005">
      <w:start w:val="1"/>
      <w:numFmt w:val="bullet"/>
      <w:lvlText w:val=""/>
      <w:lvlJc w:val="left"/>
      <w:pPr>
        <w:ind w:left="2508" w:hanging="360"/>
      </w:pPr>
      <w:rPr>
        <w:rFonts w:ascii="Wingdings" w:hAnsi="Wingdings" w:hint="default"/>
      </w:rPr>
    </w:lvl>
    <w:lvl w:ilvl="3" w:tplc="04220001">
      <w:start w:val="1"/>
      <w:numFmt w:val="bullet"/>
      <w:lvlText w:val=""/>
      <w:lvlJc w:val="left"/>
      <w:pPr>
        <w:ind w:left="3228" w:hanging="360"/>
      </w:pPr>
      <w:rPr>
        <w:rFonts w:ascii="Symbol" w:hAnsi="Symbol" w:hint="default"/>
      </w:rPr>
    </w:lvl>
    <w:lvl w:ilvl="4" w:tplc="04220003">
      <w:start w:val="1"/>
      <w:numFmt w:val="bullet"/>
      <w:lvlText w:val="o"/>
      <w:lvlJc w:val="left"/>
      <w:pPr>
        <w:ind w:left="3948" w:hanging="360"/>
      </w:pPr>
      <w:rPr>
        <w:rFonts w:ascii="Courier New" w:hAnsi="Courier New" w:cs="Courier New" w:hint="default"/>
      </w:rPr>
    </w:lvl>
    <w:lvl w:ilvl="5" w:tplc="04220005">
      <w:start w:val="1"/>
      <w:numFmt w:val="bullet"/>
      <w:lvlText w:val=""/>
      <w:lvlJc w:val="left"/>
      <w:pPr>
        <w:ind w:left="4668" w:hanging="360"/>
      </w:pPr>
      <w:rPr>
        <w:rFonts w:ascii="Wingdings" w:hAnsi="Wingdings" w:hint="default"/>
      </w:rPr>
    </w:lvl>
    <w:lvl w:ilvl="6" w:tplc="04220001">
      <w:start w:val="1"/>
      <w:numFmt w:val="bullet"/>
      <w:lvlText w:val=""/>
      <w:lvlJc w:val="left"/>
      <w:pPr>
        <w:ind w:left="5388" w:hanging="360"/>
      </w:pPr>
      <w:rPr>
        <w:rFonts w:ascii="Symbol" w:hAnsi="Symbol" w:hint="default"/>
      </w:rPr>
    </w:lvl>
    <w:lvl w:ilvl="7" w:tplc="04220003">
      <w:start w:val="1"/>
      <w:numFmt w:val="bullet"/>
      <w:lvlText w:val="o"/>
      <w:lvlJc w:val="left"/>
      <w:pPr>
        <w:ind w:left="6108" w:hanging="360"/>
      </w:pPr>
      <w:rPr>
        <w:rFonts w:ascii="Courier New" w:hAnsi="Courier New" w:cs="Courier New" w:hint="default"/>
      </w:rPr>
    </w:lvl>
    <w:lvl w:ilvl="8" w:tplc="04220005">
      <w:start w:val="1"/>
      <w:numFmt w:val="bullet"/>
      <w:lvlText w:val=""/>
      <w:lvlJc w:val="left"/>
      <w:pPr>
        <w:ind w:left="6828"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9336F0"/>
    <w:rsid w:val="00016F03"/>
    <w:rsid w:val="000235AF"/>
    <w:rsid w:val="00054E4F"/>
    <w:rsid w:val="00091782"/>
    <w:rsid w:val="000B0821"/>
    <w:rsid w:val="000C1F9A"/>
    <w:rsid w:val="000C42CF"/>
    <w:rsid w:val="000D507B"/>
    <w:rsid w:val="000E04A6"/>
    <w:rsid w:val="000E063D"/>
    <w:rsid w:val="001136B4"/>
    <w:rsid w:val="00123125"/>
    <w:rsid w:val="0012413A"/>
    <w:rsid w:val="00133DDD"/>
    <w:rsid w:val="001516C7"/>
    <w:rsid w:val="0016158E"/>
    <w:rsid w:val="00177AA7"/>
    <w:rsid w:val="0025021F"/>
    <w:rsid w:val="00250DBD"/>
    <w:rsid w:val="002605F9"/>
    <w:rsid w:val="002A4DE5"/>
    <w:rsid w:val="0032030D"/>
    <w:rsid w:val="003551CA"/>
    <w:rsid w:val="003B1406"/>
    <w:rsid w:val="00473869"/>
    <w:rsid w:val="004B6F18"/>
    <w:rsid w:val="004C02FB"/>
    <w:rsid w:val="004C6BAC"/>
    <w:rsid w:val="005021DD"/>
    <w:rsid w:val="00503B1A"/>
    <w:rsid w:val="0050670D"/>
    <w:rsid w:val="00510D72"/>
    <w:rsid w:val="00526558"/>
    <w:rsid w:val="005305A4"/>
    <w:rsid w:val="00532E76"/>
    <w:rsid w:val="00581587"/>
    <w:rsid w:val="005B4D2F"/>
    <w:rsid w:val="005F05D4"/>
    <w:rsid w:val="006210A8"/>
    <w:rsid w:val="00653145"/>
    <w:rsid w:val="006E24BE"/>
    <w:rsid w:val="006F0DE6"/>
    <w:rsid w:val="00704089"/>
    <w:rsid w:val="00720C56"/>
    <w:rsid w:val="00734B78"/>
    <w:rsid w:val="007660D2"/>
    <w:rsid w:val="007672E6"/>
    <w:rsid w:val="0077388C"/>
    <w:rsid w:val="0078326D"/>
    <w:rsid w:val="007E0904"/>
    <w:rsid w:val="0080212A"/>
    <w:rsid w:val="00802F35"/>
    <w:rsid w:val="00806536"/>
    <w:rsid w:val="00834C7B"/>
    <w:rsid w:val="00841546"/>
    <w:rsid w:val="008441B4"/>
    <w:rsid w:val="008947AF"/>
    <w:rsid w:val="008C46CA"/>
    <w:rsid w:val="008C6A5C"/>
    <w:rsid w:val="008F62D8"/>
    <w:rsid w:val="00903F83"/>
    <w:rsid w:val="00910F2C"/>
    <w:rsid w:val="009336F0"/>
    <w:rsid w:val="009360FA"/>
    <w:rsid w:val="009912DC"/>
    <w:rsid w:val="009959B5"/>
    <w:rsid w:val="009A2870"/>
    <w:rsid w:val="009A50FC"/>
    <w:rsid w:val="009C508B"/>
    <w:rsid w:val="009F031E"/>
    <w:rsid w:val="009F445A"/>
    <w:rsid w:val="00A01EF6"/>
    <w:rsid w:val="00A0209B"/>
    <w:rsid w:val="00A1091F"/>
    <w:rsid w:val="00A91417"/>
    <w:rsid w:val="00AA35D5"/>
    <w:rsid w:val="00AB17C7"/>
    <w:rsid w:val="00AD294D"/>
    <w:rsid w:val="00B13754"/>
    <w:rsid w:val="00B53784"/>
    <w:rsid w:val="00B678D4"/>
    <w:rsid w:val="00BB34ED"/>
    <w:rsid w:val="00BB410B"/>
    <w:rsid w:val="00C32188"/>
    <w:rsid w:val="00C52BF2"/>
    <w:rsid w:val="00C6635D"/>
    <w:rsid w:val="00CA61CE"/>
    <w:rsid w:val="00CD0207"/>
    <w:rsid w:val="00CE17DB"/>
    <w:rsid w:val="00D1137D"/>
    <w:rsid w:val="00D70869"/>
    <w:rsid w:val="00D75C6F"/>
    <w:rsid w:val="00DA071C"/>
    <w:rsid w:val="00DB2E1D"/>
    <w:rsid w:val="00DB2F73"/>
    <w:rsid w:val="00DF414A"/>
    <w:rsid w:val="00E3291A"/>
    <w:rsid w:val="00E34F23"/>
    <w:rsid w:val="00E44F8A"/>
    <w:rsid w:val="00E51F9D"/>
    <w:rsid w:val="00E559C6"/>
    <w:rsid w:val="00E756A5"/>
    <w:rsid w:val="00F0560C"/>
    <w:rsid w:val="00F353EE"/>
    <w:rsid w:val="00F63DDC"/>
    <w:rsid w:val="00F67485"/>
    <w:rsid w:val="00FC217F"/>
    <w:rsid w:val="00FD422D"/>
    <w:rsid w:val="00FE6E8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754B4"/>
  <w15:docId w15:val="{76E77AFA-EB73-4CCF-B298-E0D0750821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50DB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Подглава"/>
    <w:basedOn w:val="a"/>
    <w:link w:val="a4"/>
    <w:uiPriority w:val="34"/>
    <w:qFormat/>
    <w:rsid w:val="00250DBD"/>
    <w:pPr>
      <w:ind w:left="708"/>
    </w:pPr>
  </w:style>
  <w:style w:type="character" w:customStyle="1" w:styleId="a4">
    <w:name w:val="Абзац списку Знак"/>
    <w:aliases w:val="Подглава Знак"/>
    <w:link w:val="a3"/>
    <w:uiPriority w:val="34"/>
    <w:rsid w:val="00250DBD"/>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9C508B"/>
    <w:rPr>
      <w:rFonts w:ascii="Segoe UI" w:hAnsi="Segoe UI" w:cs="Segoe UI"/>
      <w:sz w:val="18"/>
      <w:szCs w:val="18"/>
    </w:rPr>
  </w:style>
  <w:style w:type="character" w:customStyle="1" w:styleId="a6">
    <w:name w:val="Текст у виносці Знак"/>
    <w:basedOn w:val="a0"/>
    <w:link w:val="a5"/>
    <w:uiPriority w:val="99"/>
    <w:semiHidden/>
    <w:rsid w:val="009C508B"/>
    <w:rPr>
      <w:rFonts w:ascii="Segoe UI" w:eastAsia="Times New Roman" w:hAnsi="Segoe UI" w:cs="Segoe UI"/>
      <w:sz w:val="18"/>
      <w:szCs w:val="18"/>
      <w:lang w:eastAsia="ru-RU"/>
    </w:rPr>
  </w:style>
  <w:style w:type="paragraph" w:styleId="a7">
    <w:name w:val="header"/>
    <w:basedOn w:val="a"/>
    <w:link w:val="a8"/>
    <w:uiPriority w:val="99"/>
    <w:unhideWhenUsed/>
    <w:rsid w:val="0080212A"/>
    <w:pPr>
      <w:tabs>
        <w:tab w:val="center" w:pos="4819"/>
        <w:tab w:val="right" w:pos="9639"/>
      </w:tabs>
    </w:pPr>
  </w:style>
  <w:style w:type="character" w:customStyle="1" w:styleId="a8">
    <w:name w:val="Верхній колонтитул Знак"/>
    <w:basedOn w:val="a0"/>
    <w:link w:val="a7"/>
    <w:uiPriority w:val="99"/>
    <w:rsid w:val="0080212A"/>
    <w:rPr>
      <w:rFonts w:ascii="Times New Roman" w:eastAsia="Times New Roman" w:hAnsi="Times New Roman" w:cs="Times New Roman"/>
      <w:sz w:val="24"/>
      <w:szCs w:val="24"/>
      <w:lang w:eastAsia="ru-RU"/>
    </w:rPr>
  </w:style>
  <w:style w:type="paragraph" w:styleId="a9">
    <w:name w:val="footer"/>
    <w:basedOn w:val="a"/>
    <w:link w:val="aa"/>
    <w:uiPriority w:val="99"/>
    <w:unhideWhenUsed/>
    <w:rsid w:val="0080212A"/>
    <w:pPr>
      <w:tabs>
        <w:tab w:val="center" w:pos="4819"/>
        <w:tab w:val="right" w:pos="9639"/>
      </w:tabs>
    </w:pPr>
  </w:style>
  <w:style w:type="character" w:customStyle="1" w:styleId="aa">
    <w:name w:val="Нижній колонтитул Знак"/>
    <w:basedOn w:val="a0"/>
    <w:link w:val="a9"/>
    <w:uiPriority w:val="99"/>
    <w:rsid w:val="0080212A"/>
    <w:rPr>
      <w:rFonts w:ascii="Times New Roman" w:eastAsia="Times New Roman" w:hAnsi="Times New Roman" w:cs="Times New Roman"/>
      <w:sz w:val="24"/>
      <w:szCs w:val="24"/>
      <w:lang w:eastAsia="ru-RU"/>
    </w:rPr>
  </w:style>
  <w:style w:type="character" w:styleId="ab">
    <w:name w:val="Hyperlink"/>
    <w:uiPriority w:val="99"/>
    <w:unhideWhenUsed/>
    <w:rsid w:val="00F353EE"/>
    <w:rPr>
      <w:color w:val="0000FF"/>
      <w:u w:val="single"/>
    </w:rPr>
  </w:style>
  <w:style w:type="paragraph" w:styleId="ac">
    <w:name w:val="No Spacing"/>
    <w:uiPriority w:val="1"/>
    <w:qFormat/>
    <w:rsid w:val="00F0560C"/>
    <w:pPr>
      <w:spacing w:after="0" w:line="240" w:lineRule="auto"/>
    </w:pPr>
    <w:rPr>
      <w:rFonts w:ascii="Times New Roman" w:eastAsia="Calibri" w:hAnsi="Times New Roman" w:cs="Times New Roman"/>
      <w:sz w:val="28"/>
    </w:rPr>
  </w:style>
  <w:style w:type="character" w:customStyle="1" w:styleId="1">
    <w:name w:val="Незакрита згадка1"/>
    <w:basedOn w:val="a0"/>
    <w:uiPriority w:val="99"/>
    <w:semiHidden/>
    <w:unhideWhenUsed/>
    <w:rsid w:val="00CE17D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656100">
      <w:bodyDiv w:val="1"/>
      <w:marLeft w:val="0"/>
      <w:marRight w:val="0"/>
      <w:marTop w:val="0"/>
      <w:marBottom w:val="0"/>
      <w:divBdr>
        <w:top w:val="none" w:sz="0" w:space="0" w:color="auto"/>
        <w:left w:val="none" w:sz="0" w:space="0" w:color="auto"/>
        <w:bottom w:val="none" w:sz="0" w:space="0" w:color="auto"/>
        <w:right w:val="none" w:sz="0" w:space="0" w:color="auto"/>
      </w:divBdr>
    </w:div>
    <w:div w:id="146438077">
      <w:bodyDiv w:val="1"/>
      <w:marLeft w:val="0"/>
      <w:marRight w:val="0"/>
      <w:marTop w:val="0"/>
      <w:marBottom w:val="0"/>
      <w:divBdr>
        <w:top w:val="none" w:sz="0" w:space="0" w:color="auto"/>
        <w:left w:val="none" w:sz="0" w:space="0" w:color="auto"/>
        <w:bottom w:val="none" w:sz="0" w:space="0" w:color="auto"/>
        <w:right w:val="none" w:sz="0" w:space="0" w:color="auto"/>
      </w:divBdr>
    </w:div>
    <w:div w:id="174267046">
      <w:bodyDiv w:val="1"/>
      <w:marLeft w:val="0"/>
      <w:marRight w:val="0"/>
      <w:marTop w:val="0"/>
      <w:marBottom w:val="0"/>
      <w:divBdr>
        <w:top w:val="none" w:sz="0" w:space="0" w:color="auto"/>
        <w:left w:val="none" w:sz="0" w:space="0" w:color="auto"/>
        <w:bottom w:val="none" w:sz="0" w:space="0" w:color="auto"/>
        <w:right w:val="none" w:sz="0" w:space="0" w:color="auto"/>
      </w:divBdr>
    </w:div>
    <w:div w:id="488908368">
      <w:bodyDiv w:val="1"/>
      <w:marLeft w:val="0"/>
      <w:marRight w:val="0"/>
      <w:marTop w:val="0"/>
      <w:marBottom w:val="0"/>
      <w:divBdr>
        <w:top w:val="none" w:sz="0" w:space="0" w:color="auto"/>
        <w:left w:val="none" w:sz="0" w:space="0" w:color="auto"/>
        <w:bottom w:val="none" w:sz="0" w:space="0" w:color="auto"/>
        <w:right w:val="none" w:sz="0" w:space="0" w:color="auto"/>
      </w:divBdr>
    </w:div>
    <w:div w:id="979387135">
      <w:bodyDiv w:val="1"/>
      <w:marLeft w:val="0"/>
      <w:marRight w:val="0"/>
      <w:marTop w:val="0"/>
      <w:marBottom w:val="0"/>
      <w:divBdr>
        <w:top w:val="none" w:sz="0" w:space="0" w:color="auto"/>
        <w:left w:val="none" w:sz="0" w:space="0" w:color="auto"/>
        <w:bottom w:val="none" w:sz="0" w:space="0" w:color="auto"/>
        <w:right w:val="none" w:sz="0" w:space="0" w:color="auto"/>
      </w:divBdr>
    </w:div>
    <w:div w:id="1159035031">
      <w:bodyDiv w:val="1"/>
      <w:marLeft w:val="0"/>
      <w:marRight w:val="0"/>
      <w:marTop w:val="0"/>
      <w:marBottom w:val="0"/>
      <w:divBdr>
        <w:top w:val="none" w:sz="0" w:space="0" w:color="auto"/>
        <w:left w:val="none" w:sz="0" w:space="0" w:color="auto"/>
        <w:bottom w:val="none" w:sz="0" w:space="0" w:color="auto"/>
        <w:right w:val="none" w:sz="0" w:space="0" w:color="auto"/>
      </w:divBdr>
    </w:div>
    <w:div w:id="1171867179">
      <w:bodyDiv w:val="1"/>
      <w:marLeft w:val="0"/>
      <w:marRight w:val="0"/>
      <w:marTop w:val="0"/>
      <w:marBottom w:val="0"/>
      <w:divBdr>
        <w:top w:val="none" w:sz="0" w:space="0" w:color="auto"/>
        <w:left w:val="none" w:sz="0" w:space="0" w:color="auto"/>
        <w:bottom w:val="none" w:sz="0" w:space="0" w:color="auto"/>
        <w:right w:val="none" w:sz="0" w:space="0" w:color="auto"/>
      </w:divBdr>
    </w:div>
    <w:div w:id="1307661134">
      <w:bodyDiv w:val="1"/>
      <w:marLeft w:val="0"/>
      <w:marRight w:val="0"/>
      <w:marTop w:val="0"/>
      <w:marBottom w:val="0"/>
      <w:divBdr>
        <w:top w:val="none" w:sz="0" w:space="0" w:color="auto"/>
        <w:left w:val="none" w:sz="0" w:space="0" w:color="auto"/>
        <w:bottom w:val="none" w:sz="0" w:space="0" w:color="auto"/>
        <w:right w:val="none" w:sz="0" w:space="0" w:color="auto"/>
      </w:divBdr>
    </w:div>
    <w:div w:id="1504854476">
      <w:bodyDiv w:val="1"/>
      <w:marLeft w:val="0"/>
      <w:marRight w:val="0"/>
      <w:marTop w:val="0"/>
      <w:marBottom w:val="0"/>
      <w:divBdr>
        <w:top w:val="none" w:sz="0" w:space="0" w:color="auto"/>
        <w:left w:val="none" w:sz="0" w:space="0" w:color="auto"/>
        <w:bottom w:val="none" w:sz="0" w:space="0" w:color="auto"/>
        <w:right w:val="none" w:sz="0" w:space="0" w:color="auto"/>
      </w:divBdr>
    </w:div>
    <w:div w:id="1524055973">
      <w:bodyDiv w:val="1"/>
      <w:marLeft w:val="0"/>
      <w:marRight w:val="0"/>
      <w:marTop w:val="0"/>
      <w:marBottom w:val="0"/>
      <w:divBdr>
        <w:top w:val="none" w:sz="0" w:space="0" w:color="auto"/>
        <w:left w:val="none" w:sz="0" w:space="0" w:color="auto"/>
        <w:bottom w:val="none" w:sz="0" w:space="0" w:color="auto"/>
        <w:right w:val="none" w:sz="0" w:space="0" w:color="auto"/>
      </w:divBdr>
    </w:div>
    <w:div w:id="1856382890">
      <w:bodyDiv w:val="1"/>
      <w:marLeft w:val="0"/>
      <w:marRight w:val="0"/>
      <w:marTop w:val="0"/>
      <w:marBottom w:val="0"/>
      <w:divBdr>
        <w:top w:val="none" w:sz="0" w:space="0" w:color="auto"/>
        <w:left w:val="none" w:sz="0" w:space="0" w:color="auto"/>
        <w:bottom w:val="none" w:sz="0" w:space="0" w:color="auto"/>
        <w:right w:val="none" w:sz="0" w:space="0" w:color="auto"/>
      </w:divBdr>
    </w:div>
    <w:div w:id="1896038387">
      <w:bodyDiv w:val="1"/>
      <w:marLeft w:val="0"/>
      <w:marRight w:val="0"/>
      <w:marTop w:val="0"/>
      <w:marBottom w:val="0"/>
      <w:divBdr>
        <w:top w:val="none" w:sz="0" w:space="0" w:color="auto"/>
        <w:left w:val="none" w:sz="0" w:space="0" w:color="auto"/>
        <w:bottom w:val="none" w:sz="0" w:space="0" w:color="auto"/>
        <w:right w:val="none" w:sz="0" w:space="0" w:color="auto"/>
      </w:divBdr>
    </w:div>
    <w:div w:id="1969585550">
      <w:bodyDiv w:val="1"/>
      <w:marLeft w:val="0"/>
      <w:marRight w:val="0"/>
      <w:marTop w:val="0"/>
      <w:marBottom w:val="0"/>
      <w:divBdr>
        <w:top w:val="none" w:sz="0" w:space="0" w:color="auto"/>
        <w:left w:val="none" w:sz="0" w:space="0" w:color="auto"/>
        <w:bottom w:val="none" w:sz="0" w:space="0" w:color="auto"/>
        <w:right w:val="none" w:sz="0" w:space="0" w:color="auto"/>
      </w:divBdr>
    </w:div>
    <w:div w:id="1973172092">
      <w:bodyDiv w:val="1"/>
      <w:marLeft w:val="0"/>
      <w:marRight w:val="0"/>
      <w:marTop w:val="0"/>
      <w:marBottom w:val="0"/>
      <w:divBdr>
        <w:top w:val="none" w:sz="0" w:space="0" w:color="auto"/>
        <w:left w:val="none" w:sz="0" w:space="0" w:color="auto"/>
        <w:bottom w:val="none" w:sz="0" w:space="0" w:color="auto"/>
        <w:right w:val="none" w:sz="0" w:space="0" w:color="auto"/>
      </w:divBdr>
    </w:div>
    <w:div w:id="1983924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ssistant@hcj.gov.ua"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202</TotalTime>
  <Pages>2</Pages>
  <Words>2801</Words>
  <Characters>1597</Characters>
  <Application>Microsoft Office Word</Application>
  <DocSecurity>0</DocSecurity>
  <Lines>13</Lines>
  <Paragraphs>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4390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 Горностай (HCJ-GM-0011 - o.hornostai)</dc:creator>
  <cp:keywords/>
  <dc:description/>
  <cp:lastModifiedBy>Лілія Яким'як (HCJ-MONO0606 - l.yakymyak)</cp:lastModifiedBy>
  <cp:revision>8</cp:revision>
  <cp:lastPrinted>2024-08-05T12:41:00Z</cp:lastPrinted>
  <dcterms:created xsi:type="dcterms:W3CDTF">2025-04-05T20:22:00Z</dcterms:created>
  <dcterms:modified xsi:type="dcterms:W3CDTF">2025-04-07T12:16:00Z</dcterms:modified>
</cp:coreProperties>
</file>