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BE384A" w14:textId="77777777" w:rsidR="00B512EB" w:rsidRDefault="00B512EB" w:rsidP="00B512EB">
      <w:pPr>
        <w:rPr>
          <w:rFonts w:ascii="Tahoma" w:hAnsi="Tahoma" w:cs="Tahoma"/>
        </w:rPr>
      </w:pPr>
      <w:bookmarkStart w:id="0" w:name="_GoBack"/>
      <w:bookmarkEnd w:id="0"/>
      <w:r w:rsidRPr="00B512EB">
        <w:rPr>
          <w:rFonts w:ascii="Tahoma" w:hAnsi="Tahoma" w:cs="Tahoma"/>
        </w:rPr>
        <w:t>﻿</w:t>
      </w:r>
    </w:p>
    <w:tbl>
      <w:tblPr>
        <w:tblW w:w="16876" w:type="dxa"/>
        <w:tblCellSpacing w:w="0" w:type="dxa"/>
        <w:tblBorders>
          <w:left w:val="single" w:sz="6" w:space="0" w:color="AAAAAA"/>
          <w:right w:val="single" w:sz="6" w:space="0" w:color="AAAAAA"/>
        </w:tblBorders>
        <w:tblCellMar>
          <w:left w:w="0" w:type="dxa"/>
          <w:right w:w="0" w:type="dxa"/>
        </w:tblCellMar>
        <w:tblLook w:val="04A0" w:firstRow="1" w:lastRow="0" w:firstColumn="1" w:lastColumn="0" w:noHBand="0" w:noVBand="1"/>
      </w:tblPr>
      <w:tblGrid>
        <w:gridCol w:w="1479"/>
        <w:gridCol w:w="15397"/>
      </w:tblGrid>
      <w:tr w:rsidR="00B512EB" w:rsidRPr="00B512EB" w14:paraId="0E72324F" w14:textId="77777777">
        <w:trPr>
          <w:tblCellSpacing w:w="0" w:type="dxa"/>
        </w:trPr>
        <w:tc>
          <w:tcPr>
            <w:tcW w:w="0" w:type="auto"/>
            <w:gridSpan w:val="2"/>
            <w:tcMar>
              <w:top w:w="90" w:type="dxa"/>
              <w:left w:w="90" w:type="dxa"/>
              <w:bottom w:w="0" w:type="dxa"/>
              <w:right w:w="90" w:type="dxa"/>
            </w:tcMar>
            <w:vAlign w:val="center"/>
            <w:hideMark/>
          </w:tcPr>
          <w:p w14:paraId="30823684" w14:textId="0BF72998" w:rsidR="00B512EB" w:rsidRPr="00B512EB" w:rsidRDefault="00B512EB" w:rsidP="00B512EB">
            <w:pPr>
              <w:rPr>
                <w:rFonts w:ascii="Tahoma" w:hAnsi="Tahoma" w:cs="Tahoma"/>
                <w:b/>
                <w:bCs/>
              </w:rPr>
            </w:pPr>
            <w:r w:rsidRPr="00B512EB">
              <w:rPr>
                <w:rFonts w:ascii="Tahoma" w:hAnsi="Tahoma" w:cs="Tahoma"/>
                <w:b/>
                <w:bCs/>
              </w:rPr>
              <w:t xml:space="preserve">Інформаційний запит - Будинки адміністративного та </w:t>
            </w:r>
            <w:proofErr w:type="spellStart"/>
            <w:r w:rsidRPr="00B512EB">
              <w:rPr>
                <w:rFonts w:ascii="Tahoma" w:hAnsi="Tahoma" w:cs="Tahoma"/>
                <w:b/>
                <w:bCs/>
              </w:rPr>
              <w:t>побутого</w:t>
            </w:r>
            <w:proofErr w:type="spellEnd"/>
            <w:r w:rsidRPr="00B512EB">
              <w:rPr>
                <w:rFonts w:ascii="Tahoma" w:hAnsi="Tahoma" w:cs="Tahoma"/>
                <w:b/>
                <w:bCs/>
              </w:rPr>
              <w:t xml:space="preserve"> призначення</w:t>
            </w:r>
          </w:p>
        </w:tc>
      </w:tr>
      <w:tr w:rsidR="00B512EB" w:rsidRPr="00B512EB" w14:paraId="0C940DF2" w14:textId="77777777">
        <w:trPr>
          <w:tblCellSpacing w:w="0" w:type="dxa"/>
        </w:trPr>
        <w:tc>
          <w:tcPr>
            <w:tcW w:w="0" w:type="auto"/>
            <w:gridSpan w:val="2"/>
            <w:tcMar>
              <w:top w:w="0" w:type="dxa"/>
              <w:left w:w="90" w:type="dxa"/>
              <w:bottom w:w="90" w:type="dxa"/>
              <w:right w:w="90" w:type="dxa"/>
            </w:tcMar>
            <w:vAlign w:val="center"/>
            <w:hideMark/>
          </w:tcPr>
          <w:p w14:paraId="4E00B7B2" w14:textId="77777777" w:rsidR="00B512EB" w:rsidRPr="00B512EB" w:rsidRDefault="00B512EB" w:rsidP="00B512EB">
            <w:pPr>
              <w:rPr>
                <w:rFonts w:ascii="Tahoma" w:hAnsi="Tahoma" w:cs="Tahoma"/>
              </w:rPr>
            </w:pPr>
            <w:r w:rsidRPr="00B512EB">
              <w:rPr>
                <w:rFonts w:ascii="Tahoma" w:hAnsi="Tahoma" w:cs="Tahoma"/>
              </w:rPr>
              <w:t>Юлія [foi+request-152493-343d10db@dostup.org.ua]</w:t>
            </w:r>
          </w:p>
        </w:tc>
      </w:tr>
      <w:tr w:rsidR="00B512EB" w:rsidRPr="00B512EB" w14:paraId="230D0CC8" w14:textId="77777777">
        <w:trPr>
          <w:tblCellSpacing w:w="0" w:type="dxa"/>
        </w:trPr>
        <w:tc>
          <w:tcPr>
            <w:tcW w:w="0" w:type="auto"/>
            <w:vAlign w:val="center"/>
            <w:hideMark/>
          </w:tcPr>
          <w:p w14:paraId="26E7AE12" w14:textId="77777777" w:rsidR="00B512EB" w:rsidRPr="00B512EB" w:rsidRDefault="00B512EB" w:rsidP="00B512EB">
            <w:pPr>
              <w:rPr>
                <w:rFonts w:ascii="Tahoma" w:hAnsi="Tahoma" w:cs="Tahoma"/>
              </w:rPr>
            </w:pPr>
          </w:p>
        </w:tc>
        <w:tc>
          <w:tcPr>
            <w:tcW w:w="0" w:type="auto"/>
            <w:vAlign w:val="center"/>
            <w:hideMark/>
          </w:tcPr>
          <w:p w14:paraId="210DA203" w14:textId="77777777" w:rsidR="00B512EB" w:rsidRPr="00B512EB" w:rsidRDefault="00B512EB" w:rsidP="00B512EB">
            <w:pPr>
              <w:rPr>
                <w:rFonts w:ascii="Tahoma" w:hAnsi="Tahoma" w:cs="Tahoma"/>
              </w:rPr>
            </w:pPr>
          </w:p>
        </w:tc>
      </w:tr>
      <w:tr w:rsidR="00B512EB" w:rsidRPr="00B512EB" w14:paraId="0AF9977D" w14:textId="77777777">
        <w:trPr>
          <w:tblCellSpacing w:w="0" w:type="dxa"/>
        </w:trPr>
        <w:tc>
          <w:tcPr>
            <w:tcW w:w="0" w:type="auto"/>
            <w:noWrap/>
            <w:tcMar>
              <w:top w:w="60" w:type="dxa"/>
              <w:left w:w="90" w:type="dxa"/>
              <w:bottom w:w="0" w:type="dxa"/>
              <w:right w:w="0" w:type="dxa"/>
            </w:tcMar>
            <w:hideMark/>
          </w:tcPr>
          <w:p w14:paraId="46B01744" w14:textId="77777777" w:rsidR="00B512EB" w:rsidRPr="00B512EB" w:rsidRDefault="00B512EB" w:rsidP="00B512EB">
            <w:pPr>
              <w:rPr>
                <w:rFonts w:ascii="Tahoma" w:hAnsi="Tahoma" w:cs="Tahoma"/>
                <w:b/>
                <w:bCs/>
              </w:rPr>
            </w:pPr>
            <w:r w:rsidRPr="00B512EB">
              <w:rPr>
                <w:rFonts w:ascii="Tahoma" w:hAnsi="Tahoma" w:cs="Tahoma"/>
                <w:b/>
                <w:bCs/>
              </w:rPr>
              <w:t>Надіслано:</w:t>
            </w:r>
          </w:p>
        </w:tc>
        <w:tc>
          <w:tcPr>
            <w:tcW w:w="15735" w:type="dxa"/>
            <w:tcMar>
              <w:top w:w="60" w:type="dxa"/>
              <w:left w:w="60" w:type="dxa"/>
              <w:bottom w:w="0" w:type="dxa"/>
              <w:right w:w="0" w:type="dxa"/>
            </w:tcMar>
            <w:vAlign w:val="center"/>
            <w:hideMark/>
          </w:tcPr>
          <w:p w14:paraId="6C7977E6" w14:textId="77777777" w:rsidR="00B512EB" w:rsidRPr="00B512EB" w:rsidRDefault="00B512EB" w:rsidP="00B512EB">
            <w:pPr>
              <w:rPr>
                <w:rFonts w:ascii="Tahoma" w:hAnsi="Tahoma" w:cs="Tahoma"/>
              </w:rPr>
            </w:pPr>
            <w:r w:rsidRPr="00B512EB">
              <w:rPr>
                <w:rFonts w:ascii="Tahoma" w:hAnsi="Tahoma" w:cs="Tahoma"/>
              </w:rPr>
              <w:t>14 жовтня 2025 р. 18:48</w:t>
            </w:r>
          </w:p>
        </w:tc>
      </w:tr>
      <w:tr w:rsidR="00B512EB" w:rsidRPr="00B512EB" w14:paraId="4C5FA979" w14:textId="77777777">
        <w:trPr>
          <w:tblCellSpacing w:w="0" w:type="dxa"/>
        </w:trPr>
        <w:tc>
          <w:tcPr>
            <w:tcW w:w="0" w:type="auto"/>
            <w:noWrap/>
            <w:tcMar>
              <w:top w:w="60" w:type="dxa"/>
              <w:left w:w="90" w:type="dxa"/>
              <w:bottom w:w="0" w:type="dxa"/>
              <w:right w:w="0" w:type="dxa"/>
            </w:tcMar>
            <w:hideMark/>
          </w:tcPr>
          <w:p w14:paraId="24353D4D" w14:textId="77777777" w:rsidR="00B512EB" w:rsidRPr="00B512EB" w:rsidRDefault="00B512EB" w:rsidP="00B512EB">
            <w:pPr>
              <w:rPr>
                <w:rFonts w:ascii="Tahoma" w:hAnsi="Tahoma" w:cs="Tahoma"/>
                <w:b/>
                <w:bCs/>
              </w:rPr>
            </w:pPr>
            <w:r w:rsidRPr="00B512EB">
              <w:rPr>
                <w:rFonts w:ascii="Tahoma" w:hAnsi="Tahoma" w:cs="Tahoma"/>
                <w:b/>
                <w:bCs/>
              </w:rPr>
              <w:t>Кому:</w:t>
            </w:r>
          </w:p>
        </w:tc>
        <w:tc>
          <w:tcPr>
            <w:tcW w:w="15735" w:type="dxa"/>
            <w:tcMar>
              <w:top w:w="60" w:type="dxa"/>
              <w:left w:w="60" w:type="dxa"/>
              <w:bottom w:w="0" w:type="dxa"/>
              <w:right w:w="0" w:type="dxa"/>
            </w:tcMar>
            <w:vAlign w:val="center"/>
            <w:hideMark/>
          </w:tcPr>
          <w:p w14:paraId="297D70DD" w14:textId="77777777" w:rsidR="00B512EB" w:rsidRPr="00B512EB" w:rsidRDefault="00E61E12" w:rsidP="00B512EB">
            <w:pPr>
              <w:rPr>
                <w:rFonts w:ascii="Tahoma" w:hAnsi="Tahoma" w:cs="Tahoma"/>
              </w:rPr>
            </w:pPr>
            <w:hyperlink r:id="rId4" w:history="1">
              <w:proofErr w:type="spellStart"/>
              <w:r w:rsidR="00B512EB" w:rsidRPr="00B512EB">
                <w:rPr>
                  <w:rStyle w:val="ae"/>
                  <w:rFonts w:ascii="Tahoma" w:hAnsi="Tahoma" w:cs="Tahoma"/>
                </w:rPr>
                <w:t>Мінінфраструктури</w:t>
              </w:r>
              <w:proofErr w:type="spellEnd"/>
            </w:hyperlink>
          </w:p>
        </w:tc>
      </w:tr>
    </w:tbl>
    <w:p w14:paraId="42F305C2" w14:textId="49678DF8" w:rsidR="00B512EB" w:rsidRDefault="00B512EB" w:rsidP="00B512EB">
      <w:pPr>
        <w:rPr>
          <w:rFonts w:ascii="Tahoma" w:hAnsi="Tahoma" w:cs="Tahoma"/>
        </w:rPr>
      </w:pPr>
    </w:p>
    <w:p w14:paraId="5A20E6CE" w14:textId="4F5D2220" w:rsidR="00B512EB" w:rsidRPr="00B512EB" w:rsidRDefault="00B512EB" w:rsidP="00B512EB">
      <w:r w:rsidRPr="00B512EB">
        <w:t>Доброго дня!</w:t>
      </w:r>
    </w:p>
    <w:p w14:paraId="3B434148" w14:textId="77777777" w:rsidR="00B512EB" w:rsidRPr="00B512EB" w:rsidRDefault="00B512EB" w:rsidP="00B512EB">
      <w:r w:rsidRPr="00B512EB">
        <w:t xml:space="preserve">Для будинків адміністративного та побутового призначення </w:t>
      </w:r>
      <w:proofErr w:type="spellStart"/>
      <w:r w:rsidRPr="00B512EB">
        <w:t>проєктування</w:t>
      </w:r>
      <w:proofErr w:type="spellEnd"/>
      <w:r w:rsidRPr="00B512EB">
        <w:t>, яких здійснюється згідно ДБН В.2.2-28:2010 "Будинки і споруди. Будинки адміністративного та побутового призначення" (надалі ДБН В.2.2-28) не наведено нормативне визначення термінів: поверх надземний, поверх підвальний, поверх підземний, поверх цокольний (надалі – терміни).</w:t>
      </w:r>
    </w:p>
    <w:p w14:paraId="1E2C35D5" w14:textId="77777777" w:rsidR="00B512EB" w:rsidRPr="00B512EB" w:rsidRDefault="00B512EB" w:rsidP="00B512EB">
      <w:r w:rsidRPr="00B512EB">
        <w:t xml:space="preserve">Визначення термінів наведено в ДБН В.2.2-9:2018 «Громадські будинки та споруди. Основні положення» (надалі ДБН В.2.2-9), але разом з тим сфера застосування ДБН В.2.2-9 не поширюється на </w:t>
      </w:r>
      <w:proofErr w:type="spellStart"/>
      <w:r w:rsidRPr="00B512EB">
        <w:t>проєктування</w:t>
      </w:r>
      <w:proofErr w:type="spellEnd"/>
      <w:r w:rsidRPr="00B512EB">
        <w:t xml:space="preserve"> адміністративних та побутових будинків і споруд умовною висотою до 73,5 м (включно) виробничих підприємств та відповідно до п.4.1 ДБН В.2.2-28 для визначення архітектурно-планувальних рішень будинків зазначено вимоги нормативних документів які слід приймати/враховувати при </w:t>
      </w:r>
      <w:proofErr w:type="spellStart"/>
      <w:r w:rsidRPr="00B512EB">
        <w:t>проєктуванні</w:t>
      </w:r>
      <w:proofErr w:type="spellEnd"/>
      <w:r w:rsidRPr="00B512EB">
        <w:t xml:space="preserve"> будинків та споруд адміністративного та побутового призначення відсутнє посилання на ДБН В.2.2.-9.</w:t>
      </w:r>
    </w:p>
    <w:p w14:paraId="2119FB95" w14:textId="77777777" w:rsidR="00B512EB" w:rsidRPr="00B512EB" w:rsidRDefault="00B512EB" w:rsidP="00B512EB">
      <w:r w:rsidRPr="00B512EB">
        <w:t xml:space="preserve">Відсутність обов’язковості виконання вимог для архітектурно-планувальних рішень згідно ДБН В.2.2-9 створює прогалини нормативного визначення та в подальшому трактування вимог на власний розсуд, як </w:t>
      </w:r>
      <w:proofErr w:type="spellStart"/>
      <w:r w:rsidRPr="00B512EB">
        <w:t>проєктними</w:t>
      </w:r>
      <w:proofErr w:type="spellEnd"/>
      <w:r w:rsidRPr="00B512EB">
        <w:t xml:space="preserve"> групами, так і експертними організаціями та безпосередньо Державною інспекцією архітектури та містобудування України (ДІАМ).</w:t>
      </w:r>
    </w:p>
    <w:p w14:paraId="7CD53660" w14:textId="77777777" w:rsidR="00B512EB" w:rsidRPr="00B512EB" w:rsidRDefault="00B512EB" w:rsidP="00B512EB">
      <w:r w:rsidRPr="00B512EB">
        <w:t>Одночасно з цим хочу зазначити, що відповідно до ст.19 Конституції України «Правовий порядок в Україні ґрунтується на засадах, відповідно до яких ніхто не може бути примушений робити те, що не передбачено законодавством».</w:t>
      </w:r>
    </w:p>
    <w:p w14:paraId="1A940A5F" w14:textId="77777777" w:rsidR="00B512EB" w:rsidRPr="00B512EB" w:rsidRDefault="00B512EB" w:rsidP="00B512EB">
      <w:r w:rsidRPr="00B512EB">
        <w:t>Враховуючи вищевикладене, 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p>
    <w:p w14:paraId="3C5E9DFA" w14:textId="77777777" w:rsidR="00B512EB" w:rsidRPr="00B512EB" w:rsidRDefault="00B512EB" w:rsidP="00B512EB">
      <w:r w:rsidRPr="00B512EB">
        <w:t xml:space="preserve">1. Надати повний та вичерпний перелік нормативного визначення термінів: поверх надземний, поверх підземний, поверх підвальний, поверх цокольний при </w:t>
      </w:r>
      <w:proofErr w:type="spellStart"/>
      <w:r w:rsidRPr="00B512EB">
        <w:t>проєктуванні</w:t>
      </w:r>
      <w:proofErr w:type="spellEnd"/>
      <w:r w:rsidRPr="00B512EB">
        <w:t xml:space="preserve"> адміністративних та побутових будинків і споруд умовною висотою до 73,5 м (включно) виробничих підприємств відповідно до вимог ДБН В.2.2-28.</w:t>
      </w:r>
    </w:p>
    <w:p w14:paraId="14DF53E5" w14:textId="77777777" w:rsidR="00B512EB" w:rsidRPr="00B512EB" w:rsidRDefault="00B512EB" w:rsidP="00B512EB">
      <w:r w:rsidRPr="00B512EB">
        <w:lastRenderedPageBreak/>
        <w:t>2. За наявності таких вимог – надати завірені належним чином копії таких документів/інформації.</w:t>
      </w:r>
    </w:p>
    <w:p w14:paraId="56A22406" w14:textId="77777777" w:rsidR="00B512EB" w:rsidRPr="00B512EB" w:rsidRDefault="00B512EB" w:rsidP="00B512EB">
      <w:r w:rsidRPr="00B512EB">
        <w:t xml:space="preserve">3. За відсутності таких вимог – зазначити алгоритм визначення в </w:t>
      </w:r>
      <w:proofErr w:type="spellStart"/>
      <w:r w:rsidRPr="00B512EB">
        <w:t>проєктній</w:t>
      </w:r>
      <w:proofErr w:type="spellEnd"/>
      <w:r w:rsidRPr="00B512EB">
        <w:t xml:space="preserve"> документації найменування поверху: підземний, підвальний, цокольний, надземний при </w:t>
      </w:r>
      <w:proofErr w:type="spellStart"/>
      <w:r w:rsidRPr="00B512EB">
        <w:t>проєктуванні</w:t>
      </w:r>
      <w:proofErr w:type="spellEnd"/>
      <w:r w:rsidRPr="00B512EB">
        <w:t xml:space="preserve"> адміністративних та побутових будинків і споруд умовною висотою до 73,5 м (включно) виробничих підприємств відповідно до вимог ДБН В.2.2-28.</w:t>
      </w:r>
    </w:p>
    <w:p w14:paraId="254CDDFC" w14:textId="77777777" w:rsidR="00B512EB" w:rsidRPr="00B512EB" w:rsidRDefault="00B512EB" w:rsidP="00B512EB">
      <w:r w:rsidRPr="00B512EB">
        <w:t>4. В разі повторення термінології з ДБН В.2.2-9 зазначити, чи може бути поверх підземним чи підвальним при перепаді планувальних відміток землі в 2,5-3 м (навколо будівлі) і більше з виходом з такого поверху з одного фасаду безпосередньо на планувальну відмітку землі.</w:t>
      </w:r>
    </w:p>
    <w:p w14:paraId="10ECE44B" w14:textId="77777777" w:rsidR="00B512EB" w:rsidRPr="00B512EB" w:rsidRDefault="00B512EB" w:rsidP="00B512EB">
      <w:r w:rsidRPr="00B512EB">
        <w:t>Відповідь на запит прошу надавати по зазначеним пунктам.</w:t>
      </w:r>
    </w:p>
    <w:p w14:paraId="6AFEB941" w14:textId="77777777" w:rsidR="00B512EB" w:rsidRPr="00B512EB" w:rsidRDefault="00B512EB" w:rsidP="00B512EB">
      <w:r w:rsidRPr="00B512EB">
        <w:t>З повагою,</w:t>
      </w:r>
    </w:p>
    <w:p w14:paraId="4915F2AA" w14:textId="77777777" w:rsidR="00B512EB" w:rsidRPr="00B512EB" w:rsidRDefault="00B512EB" w:rsidP="00B512EB">
      <w:r w:rsidRPr="00B512EB">
        <w:t>Юлія</w:t>
      </w:r>
    </w:p>
    <w:p w14:paraId="6A0B4DEE" w14:textId="77777777" w:rsidR="00B512EB" w:rsidRPr="00B512EB" w:rsidRDefault="00B512EB" w:rsidP="00B512EB">
      <w:r w:rsidRPr="00B512EB">
        <w:t>-------------------------------------------------------------------</w:t>
      </w:r>
    </w:p>
    <w:p w14:paraId="4EB98C0F" w14:textId="77777777" w:rsidR="00B512EB" w:rsidRPr="00B512EB" w:rsidRDefault="00B512EB" w:rsidP="00B512EB">
      <w:r w:rsidRPr="00B512EB">
        <w:t>Будь ласка, використовуйте цю електронну адресу для всіх відповідей на цей запит.</w:t>
      </w:r>
    </w:p>
    <w:p w14:paraId="3F3F0B2B" w14:textId="77777777" w:rsidR="00B512EB" w:rsidRPr="00B512EB" w:rsidRDefault="00B512EB" w:rsidP="00B512EB">
      <w:r w:rsidRPr="00B512EB">
        <w:t>foi+request-152493-343d10db@dostup.org.ua</w:t>
      </w:r>
    </w:p>
    <w:p w14:paraId="709C43CA" w14:textId="77777777" w:rsidR="00B512EB" w:rsidRPr="00B512EB" w:rsidRDefault="00B512EB" w:rsidP="00B512EB">
      <w:proofErr w:type="spellStart"/>
      <w:r w:rsidRPr="00B512EB">
        <w:t>Is</w:t>
      </w:r>
      <w:proofErr w:type="spellEnd"/>
      <w:r w:rsidRPr="00B512EB">
        <w:t xml:space="preserve"> miu@mtu.gov.ua </w:t>
      </w:r>
      <w:proofErr w:type="spellStart"/>
      <w:r w:rsidRPr="00B512EB">
        <w:t>the</w:t>
      </w:r>
      <w:proofErr w:type="spellEnd"/>
      <w:r w:rsidRPr="00B512EB">
        <w:t xml:space="preserve"> </w:t>
      </w:r>
      <w:proofErr w:type="spellStart"/>
      <w:r w:rsidRPr="00B512EB">
        <w:t>wrong</w:t>
      </w:r>
      <w:proofErr w:type="spellEnd"/>
      <w:r w:rsidRPr="00B512EB">
        <w:t xml:space="preserve"> </w:t>
      </w:r>
      <w:proofErr w:type="spellStart"/>
      <w:r w:rsidRPr="00B512EB">
        <w:t>address</w:t>
      </w:r>
      <w:proofErr w:type="spellEnd"/>
      <w:r w:rsidRPr="00B512EB">
        <w:t xml:space="preserve"> </w:t>
      </w:r>
      <w:proofErr w:type="spellStart"/>
      <w:r w:rsidRPr="00B512EB">
        <w:t>for</w:t>
      </w:r>
      <w:proofErr w:type="spellEnd"/>
      <w:r w:rsidRPr="00B512EB">
        <w:t xml:space="preserve"> </w:t>
      </w:r>
      <w:proofErr w:type="spellStart"/>
      <w:r w:rsidRPr="00B512EB">
        <w:t>Freedom</w:t>
      </w:r>
      <w:proofErr w:type="spellEnd"/>
      <w:r w:rsidRPr="00B512EB">
        <w:t xml:space="preserve"> </w:t>
      </w:r>
      <w:proofErr w:type="spellStart"/>
      <w:r w:rsidRPr="00B512EB">
        <w:t>of</w:t>
      </w:r>
      <w:proofErr w:type="spellEnd"/>
      <w:r w:rsidRPr="00B512EB">
        <w:t xml:space="preserve"> </w:t>
      </w:r>
      <w:proofErr w:type="spellStart"/>
      <w:r w:rsidRPr="00B512EB">
        <w:t>Information</w:t>
      </w:r>
      <w:proofErr w:type="spellEnd"/>
      <w:r w:rsidRPr="00B512EB">
        <w:t xml:space="preserve"> </w:t>
      </w:r>
      <w:proofErr w:type="spellStart"/>
      <w:r w:rsidRPr="00B512EB">
        <w:t>requests</w:t>
      </w:r>
      <w:proofErr w:type="spellEnd"/>
      <w:r w:rsidRPr="00B512EB">
        <w:t xml:space="preserve"> </w:t>
      </w:r>
      <w:proofErr w:type="spellStart"/>
      <w:r w:rsidRPr="00B512EB">
        <w:t>to</w:t>
      </w:r>
      <w:proofErr w:type="spellEnd"/>
      <w:r w:rsidRPr="00B512EB">
        <w:t xml:space="preserve"> Міністерство розвитку громад, територій та інфраструктури? </w:t>
      </w:r>
      <w:proofErr w:type="spellStart"/>
      <w:r w:rsidRPr="00B512EB">
        <w:t>If</w:t>
      </w:r>
      <w:proofErr w:type="spellEnd"/>
      <w:r w:rsidRPr="00B512EB">
        <w:t xml:space="preserve"> </w:t>
      </w:r>
      <w:proofErr w:type="spellStart"/>
      <w:r w:rsidRPr="00B512EB">
        <w:t>so</w:t>
      </w:r>
      <w:proofErr w:type="spellEnd"/>
      <w:r w:rsidRPr="00B512EB">
        <w:t xml:space="preserve">, </w:t>
      </w:r>
      <w:proofErr w:type="spellStart"/>
      <w:r w:rsidRPr="00B512EB">
        <w:t>please</w:t>
      </w:r>
      <w:proofErr w:type="spellEnd"/>
      <w:r w:rsidRPr="00B512EB">
        <w:t xml:space="preserve"> </w:t>
      </w:r>
      <w:proofErr w:type="spellStart"/>
      <w:r w:rsidRPr="00B512EB">
        <w:t>contact</w:t>
      </w:r>
      <w:proofErr w:type="spellEnd"/>
      <w:r w:rsidRPr="00B512EB">
        <w:t xml:space="preserve"> </w:t>
      </w:r>
      <w:proofErr w:type="spellStart"/>
      <w:r w:rsidRPr="00B512EB">
        <w:t>us</w:t>
      </w:r>
      <w:proofErr w:type="spellEnd"/>
      <w:r w:rsidRPr="00B512EB">
        <w:t xml:space="preserve"> </w:t>
      </w:r>
      <w:proofErr w:type="spellStart"/>
      <w:r w:rsidRPr="00B512EB">
        <w:t>using</w:t>
      </w:r>
      <w:proofErr w:type="spellEnd"/>
      <w:r w:rsidRPr="00B512EB">
        <w:t xml:space="preserve"> </w:t>
      </w:r>
      <w:proofErr w:type="spellStart"/>
      <w:r w:rsidRPr="00B512EB">
        <w:t>this</w:t>
      </w:r>
      <w:proofErr w:type="spellEnd"/>
      <w:r w:rsidRPr="00B512EB">
        <w:t xml:space="preserve"> </w:t>
      </w:r>
      <w:proofErr w:type="spellStart"/>
      <w:r w:rsidRPr="00B512EB">
        <w:t>form</w:t>
      </w:r>
      <w:proofErr w:type="spellEnd"/>
      <w:r w:rsidRPr="00B512EB">
        <w:t>:</w:t>
      </w:r>
    </w:p>
    <w:p w14:paraId="35E18E0D" w14:textId="77777777" w:rsidR="00B512EB" w:rsidRPr="00B512EB" w:rsidRDefault="00B512EB" w:rsidP="00B512EB">
      <w:r w:rsidRPr="00B512EB">
        <w:t>https://dostup.org.ua/change_request/new?body=minrozvitku</w:t>
      </w:r>
    </w:p>
    <w:p w14:paraId="29135154" w14:textId="77777777" w:rsidR="00B512EB" w:rsidRPr="00B512EB" w:rsidRDefault="00B512EB" w:rsidP="00B512EB">
      <w:r w:rsidRPr="00B512EB">
        <w:t>Увага! Це повідомлення та будь-яка відповідь на нього будуть опубліковані на сайті Доступу до Правди</w:t>
      </w:r>
    </w:p>
    <w:p w14:paraId="6523DDBA" w14:textId="77777777" w:rsidR="00B512EB" w:rsidRPr="00B512EB" w:rsidRDefault="00B512EB" w:rsidP="00B512EB">
      <w:r w:rsidRPr="00B512EB">
        <w:t>-------------------------------------------------------------------</w:t>
      </w:r>
    </w:p>
    <w:p w14:paraId="6ABD6C74" w14:textId="77777777" w:rsidR="00B512EB" w:rsidRDefault="00B512EB"/>
    <w:sectPr w:rsidR="00B512E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2EB"/>
    <w:rsid w:val="00B512EB"/>
    <w:rsid w:val="00B92F98"/>
    <w:rsid w:val="00E61E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20B5CA"/>
  <w15:chartTrackingRefBased/>
  <w15:docId w15:val="{2B493D50-45D5-4232-94F8-462AC8584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512E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512E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512EB"/>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512EB"/>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512E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512E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512E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512E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512E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512EB"/>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B512EB"/>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B512EB"/>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B512EB"/>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B512EB"/>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B512E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512EB"/>
    <w:rPr>
      <w:rFonts w:eastAsiaTheme="majorEastAsia" w:cstheme="majorBidi"/>
      <w:color w:val="595959" w:themeColor="text1" w:themeTint="A6"/>
    </w:rPr>
  </w:style>
  <w:style w:type="character" w:customStyle="1" w:styleId="80">
    <w:name w:val="Заголовок 8 Знак"/>
    <w:basedOn w:val="a0"/>
    <w:link w:val="8"/>
    <w:uiPriority w:val="9"/>
    <w:semiHidden/>
    <w:rsid w:val="00B512E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512EB"/>
    <w:rPr>
      <w:rFonts w:eastAsiaTheme="majorEastAsia" w:cstheme="majorBidi"/>
      <w:color w:val="272727" w:themeColor="text1" w:themeTint="D8"/>
    </w:rPr>
  </w:style>
  <w:style w:type="paragraph" w:styleId="a3">
    <w:name w:val="Title"/>
    <w:basedOn w:val="a"/>
    <w:next w:val="a"/>
    <w:link w:val="a4"/>
    <w:uiPriority w:val="10"/>
    <w:qFormat/>
    <w:rsid w:val="00B512E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B512E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512EB"/>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B512EB"/>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B512EB"/>
    <w:pPr>
      <w:spacing w:before="160"/>
      <w:jc w:val="center"/>
    </w:pPr>
    <w:rPr>
      <w:i/>
      <w:iCs/>
      <w:color w:val="404040" w:themeColor="text1" w:themeTint="BF"/>
    </w:rPr>
  </w:style>
  <w:style w:type="character" w:customStyle="1" w:styleId="a8">
    <w:name w:val="Цитата Знак"/>
    <w:basedOn w:val="a0"/>
    <w:link w:val="a7"/>
    <w:uiPriority w:val="29"/>
    <w:rsid w:val="00B512EB"/>
    <w:rPr>
      <w:i/>
      <w:iCs/>
      <w:color w:val="404040" w:themeColor="text1" w:themeTint="BF"/>
    </w:rPr>
  </w:style>
  <w:style w:type="paragraph" w:styleId="a9">
    <w:name w:val="List Paragraph"/>
    <w:basedOn w:val="a"/>
    <w:uiPriority w:val="34"/>
    <w:qFormat/>
    <w:rsid w:val="00B512EB"/>
    <w:pPr>
      <w:ind w:left="720"/>
      <w:contextualSpacing/>
    </w:pPr>
  </w:style>
  <w:style w:type="character" w:styleId="aa">
    <w:name w:val="Intense Emphasis"/>
    <w:basedOn w:val="a0"/>
    <w:uiPriority w:val="21"/>
    <w:qFormat/>
    <w:rsid w:val="00B512EB"/>
    <w:rPr>
      <w:i/>
      <w:iCs/>
      <w:color w:val="0F4761" w:themeColor="accent1" w:themeShade="BF"/>
    </w:rPr>
  </w:style>
  <w:style w:type="paragraph" w:styleId="ab">
    <w:name w:val="Intense Quote"/>
    <w:basedOn w:val="a"/>
    <w:next w:val="a"/>
    <w:link w:val="ac"/>
    <w:uiPriority w:val="30"/>
    <w:qFormat/>
    <w:rsid w:val="00B512E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B512EB"/>
    <w:rPr>
      <w:i/>
      <w:iCs/>
      <w:color w:val="0F4761" w:themeColor="accent1" w:themeShade="BF"/>
    </w:rPr>
  </w:style>
  <w:style w:type="character" w:styleId="ad">
    <w:name w:val="Intense Reference"/>
    <w:basedOn w:val="a0"/>
    <w:uiPriority w:val="32"/>
    <w:qFormat/>
    <w:rsid w:val="00B512EB"/>
    <w:rPr>
      <w:b/>
      <w:bCs/>
      <w:smallCaps/>
      <w:color w:val="0F4761" w:themeColor="accent1" w:themeShade="BF"/>
      <w:spacing w:val="5"/>
    </w:rPr>
  </w:style>
  <w:style w:type="character" w:styleId="ae">
    <w:name w:val="Hyperlink"/>
    <w:basedOn w:val="a0"/>
    <w:uiPriority w:val="99"/>
    <w:unhideWhenUsed/>
    <w:rsid w:val="00B512EB"/>
    <w:rPr>
      <w:color w:val="467886" w:themeColor="hyperlink"/>
      <w:u w:val="single"/>
    </w:rPr>
  </w:style>
  <w:style w:type="character" w:customStyle="1" w:styleId="UnresolvedMention">
    <w:name w:val="Unresolved Mention"/>
    <w:basedOn w:val="a0"/>
    <w:uiPriority w:val="99"/>
    <w:semiHidden/>
    <w:unhideWhenUsed/>
    <w:rsid w:val="00B512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ebmail.mtu.gov.ua/owa/?ae=Item&amp;t=IPM.Note&amp;id=RgAAAABAbut8bx%2fbQJ3t7TJcVNiEBwDeCbv3VXm1SpI7ExnczIcMAAAAAAEMAADeCbv3VXm1SpI7ExnczIcMAAjBs9IbAAA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2419</Words>
  <Characters>1379</Characters>
  <Application>Microsoft Office Word</Application>
  <DocSecurity>0</DocSecurity>
  <Lines>11</Lines>
  <Paragraphs>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Каріна Кухарчук</dc:creator>
  <cp:keywords/>
  <dc:description/>
  <cp:lastModifiedBy>Кулик Наталія Геннадіївна</cp:lastModifiedBy>
  <cp:revision>2</cp:revision>
  <dcterms:created xsi:type="dcterms:W3CDTF">2025-10-20T11:50:00Z</dcterms:created>
  <dcterms:modified xsi:type="dcterms:W3CDTF">2025-10-20T11:50:00Z</dcterms:modified>
</cp:coreProperties>
</file>